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31F2" w14:textId="77777777" w:rsidR="002F41E5" w:rsidRDefault="002F41E5">
      <w:pPr>
        <w:tabs>
          <w:tab w:val="center" w:pos="4680"/>
          <w:tab w:val="right" w:pos="9360"/>
        </w:tabs>
        <w:rPr>
          <w:sz w:val="22"/>
          <w:szCs w:val="22"/>
          <w:lang w:eastAsia="lt-LT"/>
        </w:rPr>
      </w:pPr>
    </w:p>
    <w:p w14:paraId="6423D911" w14:textId="77777777" w:rsidR="002F41E5" w:rsidRDefault="00124FBE" w:rsidP="00D77739">
      <w:pPr>
        <w:ind w:firstLine="5103"/>
      </w:pPr>
      <w:r>
        <w:t xml:space="preserve">PATVIRTINTA </w:t>
      </w:r>
    </w:p>
    <w:p w14:paraId="4E4B5E4E" w14:textId="77777777" w:rsidR="002F41E5" w:rsidRDefault="00124FBE" w:rsidP="00D77739">
      <w:pPr>
        <w:ind w:firstLine="5103"/>
      </w:pPr>
      <w:r>
        <w:t xml:space="preserve">Telšių regiono plėtros tarybos </w:t>
      </w:r>
    </w:p>
    <w:p w14:paraId="3C6DBD37" w14:textId="77777777" w:rsidR="002F41E5" w:rsidRDefault="00124FBE" w:rsidP="00D77739">
      <w:pPr>
        <w:ind w:firstLine="5103"/>
      </w:pPr>
      <w:r>
        <w:t>2023 m. kovo 10 d. sprendimu Nr. K/S-5</w:t>
      </w:r>
    </w:p>
    <w:p w14:paraId="5900A984" w14:textId="77777777" w:rsidR="002F41E5" w:rsidRDefault="00124FBE" w:rsidP="00D77739">
      <w:pPr>
        <w:ind w:firstLine="5103"/>
      </w:pPr>
      <w:r>
        <w:t xml:space="preserve">(Telšių regiono plėtros tarybos </w:t>
      </w:r>
    </w:p>
    <w:p w14:paraId="0974122F" w14:textId="2F92199A" w:rsidR="002F41E5" w:rsidRDefault="00124FBE" w:rsidP="00D77739">
      <w:pPr>
        <w:ind w:firstLine="5103"/>
      </w:pPr>
      <w:r>
        <w:t xml:space="preserve">2023 m. </w:t>
      </w:r>
      <w:r w:rsidR="00D77739">
        <w:t>gruodžio 6</w:t>
      </w:r>
      <w:r>
        <w:t xml:space="preserve"> d. sprendimo Nr. K/S-</w:t>
      </w:r>
      <w:r w:rsidR="00D77739">
        <w:t>34</w:t>
      </w:r>
      <w:r>
        <w:t xml:space="preserve"> </w:t>
      </w:r>
    </w:p>
    <w:p w14:paraId="44EA57C3" w14:textId="77777777" w:rsidR="002F41E5" w:rsidRDefault="00124FBE" w:rsidP="00D77739">
      <w:pPr>
        <w:ind w:firstLine="5103"/>
      </w:pPr>
      <w:r>
        <w:t>redakcija)</w:t>
      </w:r>
    </w:p>
    <w:p w14:paraId="6D35A0A4" w14:textId="77777777" w:rsidR="002F41E5" w:rsidRDefault="002F41E5">
      <w:pPr>
        <w:jc w:val="center"/>
        <w:rPr>
          <w:b/>
        </w:rPr>
      </w:pPr>
    </w:p>
    <w:p w14:paraId="3D609463" w14:textId="77777777" w:rsidR="002F41E5" w:rsidRDefault="00124FBE">
      <w:pPr>
        <w:jc w:val="center"/>
        <w:rPr>
          <w:b/>
        </w:rPr>
      </w:pPr>
      <w:r>
        <w:rPr>
          <w:b/>
        </w:rPr>
        <w:t>TELŠIŲ</w:t>
      </w:r>
      <w:r>
        <w:t xml:space="preserve"> </w:t>
      </w:r>
      <w:r>
        <w:rPr>
          <w:b/>
        </w:rPr>
        <w:t>REGIONO PLĖTROS PLANO</w:t>
      </w:r>
    </w:p>
    <w:p w14:paraId="3D296784" w14:textId="77777777" w:rsidR="002F41E5" w:rsidRDefault="002F41E5">
      <w:pPr>
        <w:jc w:val="center"/>
        <w:rPr>
          <w:b/>
        </w:rPr>
      </w:pPr>
    </w:p>
    <w:p w14:paraId="78750CB7" w14:textId="77777777" w:rsidR="002F41E5" w:rsidRDefault="00124FBE">
      <w:pPr>
        <w:jc w:val="center"/>
        <w:rPr>
          <w:b/>
        </w:rPr>
      </w:pPr>
      <w:r>
        <w:rPr>
          <w:b/>
        </w:rPr>
        <w:t xml:space="preserve">PAŽANGOS PRIEMONĖS </w:t>
      </w:r>
    </w:p>
    <w:p w14:paraId="3D75B98C" w14:textId="77777777" w:rsidR="002F41E5" w:rsidRDefault="002F41E5">
      <w:pPr>
        <w:jc w:val="center"/>
        <w:rPr>
          <w:b/>
        </w:rPr>
      </w:pPr>
    </w:p>
    <w:p w14:paraId="685C0D71" w14:textId="77777777" w:rsidR="002F41E5" w:rsidRDefault="00124FBE">
      <w:pPr>
        <w:jc w:val="center"/>
        <w:rPr>
          <w:rFonts w:eastAsia="Calibri"/>
          <w:b/>
          <w:szCs w:val="24"/>
          <w:u w:val="single"/>
        </w:rPr>
      </w:pPr>
      <w:r>
        <w:rPr>
          <w:b/>
          <w:szCs w:val="24"/>
          <w:u w:val="single"/>
        </w:rPr>
        <w:t xml:space="preserve">NR. </w:t>
      </w:r>
      <w:r>
        <w:rPr>
          <w:b/>
          <w:szCs w:val="24"/>
          <w:u w:val="single"/>
        </w:rPr>
        <w:t>LT028-05-03-03</w:t>
      </w:r>
      <w:r>
        <w:rPr>
          <w:rFonts w:eastAsia="Calibri"/>
          <w:b/>
          <w:szCs w:val="24"/>
          <w:u w:val="single"/>
        </w:rPr>
        <w:t xml:space="preserve"> „SVEIKATOS PREVENCIJOS SKATINIMAS</w:t>
      </w:r>
    </w:p>
    <w:p w14:paraId="2E7CA33C" w14:textId="77777777" w:rsidR="002F41E5" w:rsidRDefault="002F41E5">
      <w:pPr>
        <w:jc w:val="center"/>
        <w:rPr>
          <w:b/>
          <w:i/>
          <w:u w:val="single"/>
        </w:rPr>
      </w:pPr>
    </w:p>
    <w:p w14:paraId="7E8EFFF2" w14:textId="77777777" w:rsidR="002F41E5" w:rsidRDefault="00124FBE">
      <w:pPr>
        <w:jc w:val="center"/>
        <w:rPr>
          <w:b/>
        </w:rPr>
      </w:pPr>
      <w:r>
        <w:rPr>
          <w:b/>
        </w:rPr>
        <w:t>PAGRINDIMO APRAŠAS</w:t>
      </w:r>
    </w:p>
    <w:p w14:paraId="4EFDEE3C" w14:textId="77777777" w:rsidR="002F41E5" w:rsidRDefault="00124FBE">
      <w:pPr>
        <w:jc w:val="center"/>
      </w:pPr>
      <w:r>
        <w:t>2023-10-30 Nr. PA-3</w:t>
      </w:r>
    </w:p>
    <w:p w14:paraId="7EA94F6E" w14:textId="77777777" w:rsidR="002F41E5" w:rsidRDefault="002F41E5">
      <w:pPr>
        <w:jc w:val="center"/>
      </w:pPr>
    </w:p>
    <w:p w14:paraId="405934C8" w14:textId="77777777" w:rsidR="002F41E5" w:rsidRDefault="002F41E5">
      <w:pPr>
        <w:jc w:val="center"/>
        <w:rPr>
          <w:b/>
        </w:rPr>
      </w:pPr>
    </w:p>
    <w:p w14:paraId="394AC661" w14:textId="77777777" w:rsidR="002F41E5" w:rsidRDefault="00124FBE">
      <w:pPr>
        <w:jc w:val="center"/>
        <w:rPr>
          <w:b/>
        </w:rPr>
      </w:pPr>
      <w:r>
        <w:rPr>
          <w:b/>
        </w:rPr>
        <w:t>I SKYRIUS</w:t>
      </w:r>
    </w:p>
    <w:p w14:paraId="04A95C65" w14:textId="77777777" w:rsidR="002F41E5" w:rsidRDefault="00124FBE">
      <w:pPr>
        <w:jc w:val="center"/>
        <w:rPr>
          <w:b/>
        </w:rPr>
      </w:pPr>
      <w:r>
        <w:rPr>
          <w:b/>
        </w:rPr>
        <w:t>BENDROSIOS NUOSTATOS</w:t>
      </w:r>
    </w:p>
    <w:p w14:paraId="704A4A68" w14:textId="77777777" w:rsidR="002F41E5" w:rsidRDefault="002F41E5">
      <w:pPr>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804"/>
      </w:tblGrid>
      <w:tr w:rsidR="002F41E5" w14:paraId="69930B43" w14:textId="77777777">
        <w:tc>
          <w:tcPr>
            <w:tcW w:w="2972" w:type="dxa"/>
            <w:shd w:val="pct10" w:color="auto" w:fill="FFFFFF" w:themeFill="background1"/>
          </w:tcPr>
          <w:p w14:paraId="6D156F11" w14:textId="77777777" w:rsidR="002F41E5" w:rsidRDefault="00124FBE">
            <w:pPr>
              <w:rPr>
                <w:b/>
              </w:rPr>
            </w:pPr>
            <w:r>
              <w:rPr>
                <w:b/>
              </w:rPr>
              <w:t>Regiono plėtros uždavinys (-</w:t>
            </w:r>
            <w:proofErr w:type="spellStart"/>
            <w:r>
              <w:rPr>
                <w:b/>
              </w:rPr>
              <w:t>iai</w:t>
            </w:r>
            <w:proofErr w:type="spellEnd"/>
            <w:r>
              <w:rPr>
                <w:b/>
              </w:rPr>
              <w:t>)</w:t>
            </w:r>
          </w:p>
        </w:tc>
        <w:tc>
          <w:tcPr>
            <w:tcW w:w="6804" w:type="dxa"/>
          </w:tcPr>
          <w:p w14:paraId="6A52BF9B" w14:textId="77777777" w:rsidR="002F41E5" w:rsidRDefault="00124FBE">
            <w:pPr>
              <w:tabs>
                <w:tab w:val="left" w:pos="598"/>
              </w:tabs>
              <w:spacing w:line="276" w:lineRule="auto"/>
              <w:jc w:val="both"/>
              <w:rPr>
                <w:szCs w:val="24"/>
              </w:rPr>
            </w:pPr>
            <w:r>
              <w:rPr>
                <w:szCs w:val="24"/>
                <w:lang w:eastAsia="lt-LT"/>
              </w:rPr>
              <w:t xml:space="preserve">Pažangos priemone prisidedama prie  Telšių regiono </w:t>
            </w:r>
            <w:r>
              <w:rPr>
                <w:szCs w:val="24"/>
              </w:rPr>
              <w:t xml:space="preserve"> plėtros plane nustatyto regiono plėtros uždavini</w:t>
            </w:r>
            <w:r>
              <w:rPr>
                <w:szCs w:val="24"/>
              </w:rPr>
              <w:t>o „</w:t>
            </w:r>
            <w:r>
              <w:rPr>
                <w:szCs w:val="24"/>
                <w:lang w:eastAsia="lt-LT"/>
              </w:rPr>
              <w:t>Plėtoti prevencines gyventojų sveikatos išsaugojimo ir stiprinimo priemones“</w:t>
            </w:r>
            <w:r>
              <w:rPr>
                <w:szCs w:val="24"/>
              </w:rPr>
              <w:t xml:space="preserve"> LT028-05-03 įgyvendinimo </w:t>
            </w:r>
          </w:p>
          <w:p w14:paraId="038D94D3" w14:textId="77777777" w:rsidR="002F41E5" w:rsidRDefault="002F41E5">
            <w:pPr>
              <w:tabs>
                <w:tab w:val="left" w:pos="598"/>
              </w:tabs>
              <w:spacing w:line="276" w:lineRule="auto"/>
              <w:jc w:val="both"/>
              <w:rPr>
                <w:szCs w:val="24"/>
              </w:rPr>
            </w:pPr>
          </w:p>
        </w:tc>
      </w:tr>
    </w:tbl>
    <w:p w14:paraId="4923F46A" w14:textId="77777777" w:rsidR="002F41E5" w:rsidRDefault="002F41E5"/>
    <w:p w14:paraId="03644FA4" w14:textId="77777777" w:rsidR="002F41E5" w:rsidRDefault="00124FBE">
      <w:pPr>
        <w:jc w:val="center"/>
        <w:rPr>
          <w:b/>
          <w:bCs/>
        </w:rPr>
      </w:pPr>
      <w:r>
        <w:rPr>
          <w:b/>
          <w:bCs/>
        </w:rPr>
        <w:t>II SKYRIUS</w:t>
      </w:r>
    </w:p>
    <w:p w14:paraId="3A5004D8" w14:textId="77777777" w:rsidR="002F41E5" w:rsidRDefault="00124FBE">
      <w:pPr>
        <w:tabs>
          <w:tab w:val="left" w:pos="851"/>
        </w:tabs>
        <w:jc w:val="center"/>
        <w:rPr>
          <w:b/>
          <w:bCs/>
        </w:rPr>
      </w:pPr>
      <w:r>
        <w:rPr>
          <w:b/>
          <w:bCs/>
        </w:rPr>
        <w:t>SITUACIJOS ANALIZĖ IR SIEKIAMAS POKYTIS</w:t>
      </w:r>
    </w:p>
    <w:p w14:paraId="2AD6AA23" w14:textId="77777777" w:rsidR="002F41E5" w:rsidRDefault="002F41E5">
      <w:pPr>
        <w:jc w:val="center"/>
        <w:rPr>
          <w:b/>
          <w:bCs/>
        </w:rPr>
      </w:pPr>
    </w:p>
    <w:p w14:paraId="0849C820" w14:textId="77777777" w:rsidR="002F41E5" w:rsidRDefault="00124FBE">
      <w:pPr>
        <w:tabs>
          <w:tab w:val="left" w:pos="0"/>
          <w:tab w:val="left" w:pos="851"/>
        </w:tabs>
        <w:suppressAutoHyphens/>
        <w:ind w:left="-284" w:right="-22" w:firstLine="1440"/>
        <w:jc w:val="both"/>
        <w:textAlignment w:val="baseline"/>
        <w:rPr>
          <w:bCs/>
          <w:szCs w:val="24"/>
        </w:rPr>
      </w:pPr>
      <w:r>
        <w:rPr>
          <w:iCs/>
          <w:szCs w:val="24"/>
        </w:rPr>
        <w:t>Įgyvendinant pažangos priemonę, bus sprendžiama Telšių regiono plėtros 2022 – 2030 m. plane įvardinta  5 problema – „</w:t>
      </w:r>
      <w:r>
        <w:rPr>
          <w:szCs w:val="24"/>
        </w:rPr>
        <w:t xml:space="preserve">Nepakankamas socialinių ir sveikatos priežiūros paslaugų prieinamumas ir kokybė“.  </w:t>
      </w:r>
      <w:r>
        <w:rPr>
          <w:iCs/>
          <w:szCs w:val="24"/>
        </w:rPr>
        <w:t xml:space="preserve">Nustatyta, kad viena iš problemos giluminių  priežasčių </w:t>
      </w:r>
      <w:r>
        <w:rPr>
          <w:iCs/>
          <w:szCs w:val="24"/>
        </w:rPr>
        <w:t xml:space="preserve">yra </w:t>
      </w:r>
      <w:r>
        <w:rPr>
          <w:rFonts w:eastAsia="Calibri"/>
          <w:szCs w:val="24"/>
        </w:rPr>
        <w:t xml:space="preserve">sveikatos prevencinių priemonių trūkumas.  </w:t>
      </w:r>
    </w:p>
    <w:p w14:paraId="118F2B13" w14:textId="77777777" w:rsidR="002F41E5" w:rsidRDefault="00124FBE">
      <w:pPr>
        <w:tabs>
          <w:tab w:val="left" w:pos="0"/>
          <w:tab w:val="left" w:pos="851"/>
        </w:tabs>
        <w:suppressAutoHyphens/>
        <w:ind w:left="-284" w:right="-22" w:firstLine="1440"/>
        <w:jc w:val="both"/>
        <w:textAlignment w:val="baseline"/>
        <w:rPr>
          <w:bCs/>
          <w:szCs w:val="24"/>
        </w:rPr>
      </w:pPr>
      <w:r>
        <w:rPr>
          <w:szCs w:val="24"/>
        </w:rPr>
        <w:t>Tikslinės grupės, kurių problemas numatoma spręsti, yra Telšių regiono Mažeikių, Plungės, Telšių rajono savivaldybių bei Rietavo savivaldybės socialiai pažeidžiami, socialinę riziką (atskirtį) patiriantys asm</w:t>
      </w:r>
      <w:r>
        <w:rPr>
          <w:szCs w:val="24"/>
        </w:rPr>
        <w:t>enys, neįgalūs asmenys, senyvo amžiaus asmenys, vaikai, jaunimas, rizikos sveikatai veiksnius patiriantys asmenys, asmenys, priskiriami pagrindinių lėtinių neinfekcinių ligų didelės rizikos grupėms, taip pat v</w:t>
      </w:r>
      <w:r>
        <w:rPr>
          <w:bCs/>
          <w:szCs w:val="24"/>
        </w:rPr>
        <w:t>aikai, jaunimas ir jų aplinkos nariai (šeima, m</w:t>
      </w:r>
      <w:r>
        <w:rPr>
          <w:bCs/>
          <w:szCs w:val="24"/>
        </w:rPr>
        <w:t>okykla, bendruomenė).</w:t>
      </w:r>
    </w:p>
    <w:p w14:paraId="3C743B43" w14:textId="77777777" w:rsidR="002F41E5" w:rsidRDefault="00124FBE">
      <w:pPr>
        <w:tabs>
          <w:tab w:val="left" w:pos="0"/>
          <w:tab w:val="left" w:pos="851"/>
        </w:tabs>
        <w:suppressAutoHyphens/>
        <w:ind w:left="-284" w:right="-22" w:firstLine="1440"/>
        <w:jc w:val="both"/>
        <w:textAlignment w:val="baseline"/>
      </w:pPr>
      <w:r>
        <w:rPr>
          <w:szCs w:val="24"/>
        </w:rPr>
        <w:t>Telšių regiono savivaldybių gyventojų sveikatos rodikliai, pagrindžiantys pažangos priemonės poreikį, plačiau aprašyti  Telšių regiono plėtros plano</w:t>
      </w:r>
      <w:r>
        <w:t xml:space="preserve"> dalyje VII. Sveikata). </w:t>
      </w:r>
    </w:p>
    <w:p w14:paraId="52125E7E" w14:textId="77777777" w:rsidR="002F41E5" w:rsidRDefault="00124FBE">
      <w:pPr>
        <w:tabs>
          <w:tab w:val="left" w:pos="0"/>
          <w:tab w:val="left" w:pos="851"/>
        </w:tabs>
        <w:suppressAutoHyphens/>
        <w:ind w:left="-284" w:right="-22" w:firstLine="1440"/>
        <w:jc w:val="both"/>
        <w:textAlignment w:val="baseline"/>
      </w:pPr>
      <w:r>
        <w:t>Regiono savivaldybės, atsižvelgdamos į opiausias gyventojų sv</w:t>
      </w:r>
      <w:r>
        <w:t xml:space="preserve">eikatos problemas, planuoja </w:t>
      </w:r>
      <w:r>
        <w:rPr>
          <w:szCs w:val="24"/>
        </w:rPr>
        <w:t xml:space="preserve">įgyvendinti prevencines gyventojų sveikatos išsaugojimo, psichologinės gerovės ir atsparumo stiprinimo priemones, priklausomybės ligų prevencijos veiklas, didinti kokybiškų visuomenės sveikatos prevencijos paslaugų prieinamumą. </w:t>
      </w:r>
      <w:r>
        <w:rPr>
          <w:szCs w:val="24"/>
        </w:rPr>
        <w:t xml:space="preserve"> </w:t>
      </w:r>
    </w:p>
    <w:p w14:paraId="25BFE9DB" w14:textId="77777777" w:rsidR="002F41E5" w:rsidRDefault="00124FBE">
      <w:pPr>
        <w:tabs>
          <w:tab w:val="left" w:pos="0"/>
          <w:tab w:val="left" w:pos="851"/>
        </w:tabs>
        <w:ind w:left="-284"/>
        <w:jc w:val="both"/>
      </w:pPr>
      <w:r>
        <w:t xml:space="preserve">Išanalizavus </w:t>
      </w:r>
      <w:r>
        <w:rPr>
          <w:b/>
          <w:i/>
        </w:rPr>
        <w:t>Mažeikių rajono savivaldybės</w:t>
      </w:r>
      <w:r>
        <w:t xml:space="preserve"> visuomenės sveikatos būklę, nustatytos šios problemos ir planuojamos priemonės pokyčiams pasiekti.</w:t>
      </w:r>
    </w:p>
    <w:p w14:paraId="4E7B477B" w14:textId="77777777" w:rsidR="002F41E5" w:rsidRDefault="00124FBE">
      <w:pPr>
        <w:tabs>
          <w:tab w:val="left" w:pos="0"/>
          <w:tab w:val="left" w:pos="851"/>
        </w:tabs>
        <w:ind w:left="-284" w:firstLine="1440"/>
        <w:jc w:val="both"/>
        <w:rPr>
          <w:rFonts w:ascii="TimesNewRomanPSMT" w:hAnsi="TimesNewRomanPSMT" w:cs="TimesNewRomanPSMT"/>
          <w:szCs w:val="24"/>
        </w:rPr>
      </w:pPr>
      <w:r>
        <w:rPr>
          <w:rFonts w:ascii="TimesNewRomanPSMT" w:hAnsi="TimesNewRomanPSMT" w:cs="TimesNewRomanPSMT"/>
          <w:szCs w:val="24"/>
        </w:rPr>
        <w:t>1</w:t>
      </w:r>
      <w:r>
        <w:rPr>
          <w:rFonts w:ascii="TimesNewRomanPSMT" w:hAnsi="TimesNewRomanPSMT" w:cs="TimesNewRomanPSMT"/>
          <w:szCs w:val="24"/>
        </w:rPr>
        <w:t xml:space="preserve">. Trečia pagal dažnumą mirčių priežastis – didėjantis sergamumas piktybiniais navikais. Piktybiniais navikais sergančių asmenų skaičius Mažeikių rajono savivaldybėje didėjo nuo 1624 2017 m. iki 1761 2021 m.  Veikla problemai spręsti – lėtinių neinfekcinių </w:t>
      </w:r>
      <w:r>
        <w:rPr>
          <w:rFonts w:ascii="TimesNewRomanPSMT" w:hAnsi="TimesNewRomanPSMT" w:cs="TimesNewRomanPSMT"/>
          <w:szCs w:val="24"/>
        </w:rPr>
        <w:t>ligų prevencija onkologinėmis ligomis sergantiems Mažeikių rajono savivaldybės gyventojams. Įgyvendinus veiklą planuojama mažinti onkologinėmis ligomis sergančių asmenų mirtingumą.</w:t>
      </w:r>
    </w:p>
    <w:p w14:paraId="6A721A1D" w14:textId="77777777" w:rsidR="002F41E5" w:rsidRDefault="00124FBE">
      <w:pPr>
        <w:tabs>
          <w:tab w:val="left" w:pos="0"/>
          <w:tab w:val="left" w:pos="851"/>
        </w:tabs>
        <w:ind w:left="-284" w:firstLine="1440"/>
        <w:jc w:val="both"/>
        <w:rPr>
          <w:rFonts w:ascii="TimesNewRomanPSMT" w:hAnsi="TimesNewRomanPSMT" w:cs="TimesNewRomanPSMT"/>
          <w:szCs w:val="24"/>
        </w:rPr>
      </w:pPr>
      <w:r>
        <w:rPr>
          <w:rFonts w:ascii="TimesNewRomanPS-BoldMT" w:hAnsi="TimesNewRomanPS-BoldMT" w:cs="TimesNewRomanPS-BoldMT"/>
          <w:bCs/>
          <w:szCs w:val="24"/>
        </w:rPr>
        <w:lastRenderedPageBreak/>
        <w:t>2. M</w:t>
      </w:r>
      <w:r>
        <w:rPr>
          <w:rFonts w:ascii="TimesNewRomanPSMT" w:hAnsi="TimesNewRomanPSMT" w:cs="TimesNewRomanPSMT"/>
          <w:szCs w:val="24"/>
        </w:rPr>
        <w:t>okyklinio amžiaus vaikų gyvensena ir fizinis aktyvumas. Remiantis Vaikų</w:t>
      </w:r>
      <w:r>
        <w:rPr>
          <w:rFonts w:ascii="TimesNewRomanPSMT" w:hAnsi="TimesNewRomanPSMT" w:cs="TimesNewRomanPSMT"/>
          <w:szCs w:val="24"/>
        </w:rPr>
        <w:t xml:space="preserve"> sveikatos stebėsenos informacinės sistemos duomenimis, Mažeikių rajono savivaldybėje, 2021–2022 m. m. tik 63,4 proc. 2–17 m. amžiaus vaikų turėjo normalų kūno svorį. Antsvorį turinčių 2–17 m. amžiaus vaikų dalis sudarė 14,1 proc. Per mažas kūno svoris nus</w:t>
      </w:r>
      <w:r>
        <w:rPr>
          <w:rFonts w:ascii="TimesNewRomanPSMT" w:hAnsi="TimesNewRomanPSMT" w:cs="TimesNewRomanPSMT"/>
          <w:szCs w:val="24"/>
        </w:rPr>
        <w:t xml:space="preserve">tatytas 15,8 proc. vaikų. Nutukusių vaikų dalis sudarė 6,7 proc. Veikla problemai spręsti – Naujų laisvalaikio fizinio aktyvumo formų diegimas ugdymo įstaigas lankantiems vaikams. </w:t>
      </w:r>
    </w:p>
    <w:p w14:paraId="3660C1F9" w14:textId="77777777" w:rsidR="002F41E5" w:rsidRDefault="00124FBE">
      <w:pPr>
        <w:ind w:firstLine="851"/>
        <w:jc w:val="both"/>
        <w:rPr>
          <w:rFonts w:ascii="TimesNewRomanPSMT" w:hAnsi="TimesNewRomanPSMT" w:cs="TimesNewRomanPSMT"/>
          <w:szCs w:val="24"/>
        </w:rPr>
      </w:pPr>
      <w:r>
        <w:rPr>
          <w:rFonts w:ascii="TimesNewRomanPS-BoldMT" w:hAnsi="TimesNewRomanPS-BoldMT" w:cs="TimesNewRomanPS-BoldMT"/>
          <w:bCs/>
          <w:szCs w:val="24"/>
        </w:rPr>
        <w:t>3. V</w:t>
      </w:r>
      <w:r>
        <w:rPr>
          <w:rFonts w:ascii="TimesNewRomanPSMT" w:hAnsi="TimesNewRomanPSMT" w:cs="TimesNewRomanPSMT"/>
          <w:szCs w:val="24"/>
        </w:rPr>
        <w:t>aikų ligotumas įvairiapusiais raidos sutrikimais per 5 metus padidėjo 2</w:t>
      </w:r>
      <w:r>
        <w:rPr>
          <w:rFonts w:ascii="TimesNewRomanPSMT" w:hAnsi="TimesNewRomanPSMT" w:cs="TimesNewRomanPSMT"/>
          <w:szCs w:val="24"/>
        </w:rPr>
        <w:t>,4 karto visose amžiaus  grupėse. (Higienos instituto leidinys „Vaikų ligotumo įvairiapusiais raidos sutrikimais apžvalga 2016–2020 m.). Gerinti sveikatą veiksmingiausia, darant tai nuo gimimo – gerinant būsimų tėvų žinias ir įgūdžius apie jų ir vaikų svei</w:t>
      </w:r>
      <w:r>
        <w:rPr>
          <w:rFonts w:ascii="TimesNewRomanPSMT" w:hAnsi="TimesNewRomanPSMT" w:cs="TimesNewRomanPSMT"/>
          <w:szCs w:val="24"/>
        </w:rPr>
        <w:t xml:space="preserve">katą. Veikla problemai spręsti – Šeimos, motinos ir vaiko sveikatos stiprinimas: „Tėvelių mokykla“, vaiko besilaukiančių tėvų ir tėvų su vaikais iki 2 m. mokymas apie jaunos šeimos sveiką mitybą, fizinį aktyvumą, psichikos sveikatą naujagimio priežiūrą ir </w:t>
      </w:r>
      <w:r>
        <w:rPr>
          <w:rFonts w:ascii="TimesNewRomanPSMT" w:hAnsi="TimesNewRomanPSMT" w:cs="TimesNewRomanPSMT"/>
          <w:szCs w:val="24"/>
        </w:rPr>
        <w:t xml:space="preserve">kt. </w:t>
      </w:r>
    </w:p>
    <w:p w14:paraId="38FE3577" w14:textId="77777777" w:rsidR="002F41E5" w:rsidRDefault="00124FBE">
      <w:pPr>
        <w:ind w:firstLine="851"/>
        <w:jc w:val="both"/>
        <w:rPr>
          <w:rFonts w:ascii="TimesNewRomanPSMT" w:hAnsi="TimesNewRomanPSMT" w:cs="TimesNewRomanPSMT"/>
          <w:szCs w:val="24"/>
        </w:rPr>
      </w:pPr>
      <w:r>
        <w:rPr>
          <w:rFonts w:ascii="TimesNewRomanPS-BoldMT" w:hAnsi="TimesNewRomanPS-BoldMT" w:cs="TimesNewRomanPS-BoldMT"/>
          <w:bCs/>
          <w:szCs w:val="24"/>
        </w:rPr>
        <w:t>4. N</w:t>
      </w:r>
      <w:r>
        <w:rPr>
          <w:rFonts w:ascii="TimesNewRomanPSMT" w:hAnsi="TimesNewRomanPSMT" w:cs="TimesNewRomanPSMT"/>
          <w:szCs w:val="24"/>
        </w:rPr>
        <w:t>eįgaliųjų vaikų ir jų šeimų gyvenimo kokybės tyrimo rezultatai parodė, kad šių vaikų ir jų šeimų gyvenimo kokybė ekonominiu bei socialiniu aspektais yra blogesnė nei sveikų vaikų ir jų šeimų, negalią turintys vaikai patiria daugiau psichikos sveik</w:t>
      </w:r>
      <w:r>
        <w:rPr>
          <w:rFonts w:ascii="TimesNewRomanPSMT" w:hAnsi="TimesNewRomanPSMT" w:cs="TimesNewRomanPSMT"/>
          <w:szCs w:val="24"/>
        </w:rPr>
        <w:t xml:space="preserve">atos rizikos veiksnių. Valstybinio psichikos sveikatos centro duomenimis, visų vaikų sergamumas ir ligotumas psichikos ir elgesio sutrikimais nemažėja. Negalią turinčių vaikų psichikos sveikatą būtina stiprinti, kol tai nesukelia psichikos sveikatos ligų. </w:t>
      </w:r>
      <w:r>
        <w:rPr>
          <w:rFonts w:ascii="TimesNewRomanPSMT" w:hAnsi="TimesNewRomanPSMT" w:cs="TimesNewRomanPSMT"/>
          <w:szCs w:val="24"/>
        </w:rPr>
        <w:t xml:space="preserve">Veikla problemai spręsti – negalią turinčių mokyklinio amžiaus asmenų  psichikos sveikatos stiprinimas per fizinį aktyvumą, mokant fizinio aktyvumo pratimų stresui  mažinti, valingam atsipalaidavimui pasiekti, emocijoms valdyti. </w:t>
      </w:r>
    </w:p>
    <w:p w14:paraId="0B55DF10" w14:textId="77777777" w:rsidR="002F41E5" w:rsidRDefault="00124FBE">
      <w:pPr>
        <w:ind w:firstLine="851"/>
        <w:jc w:val="both"/>
        <w:rPr>
          <w:rFonts w:ascii="TimesNewRomanPSMT" w:hAnsi="TimesNewRomanPSMT" w:cs="TimesNewRomanPSMT"/>
          <w:szCs w:val="24"/>
        </w:rPr>
      </w:pPr>
      <w:r>
        <w:rPr>
          <w:rFonts w:ascii="TimesNewRomanPS-BoldMT" w:hAnsi="TimesNewRomanPS-BoldMT" w:cs="TimesNewRomanPS-BoldMT"/>
          <w:bCs/>
          <w:szCs w:val="24"/>
        </w:rPr>
        <w:t xml:space="preserve">5. </w:t>
      </w:r>
      <w:r>
        <w:rPr>
          <w:rFonts w:ascii="TimesNewRomanPSMT" w:hAnsi="TimesNewRomanPSMT" w:cs="TimesNewRomanPSMT"/>
          <w:szCs w:val="24"/>
        </w:rPr>
        <w:t>Higienos instituto visu</w:t>
      </w:r>
      <w:r>
        <w:rPr>
          <w:rFonts w:ascii="TimesNewRomanPSMT" w:hAnsi="TimesNewRomanPSMT" w:cs="TimesNewRomanPSMT"/>
          <w:szCs w:val="24"/>
        </w:rPr>
        <w:t>omenės sveikatos stebėsenos sistemos duomenimis, Mažeikių rajone didėja sergančių psichikos ligomis asmenų skaičius 65 m. ir vyresnių amžiaus grupėje. 2017 m. tokių asmenų (diagnozė  F00-F99 psichikos ir elgesio sutrikimai) savivaldybėje buvo 6285, 2021 m.</w:t>
      </w:r>
      <w:r>
        <w:rPr>
          <w:rFonts w:ascii="TimesNewRomanPSMT" w:hAnsi="TimesNewRomanPSMT" w:cs="TimesNewRomanPSMT"/>
          <w:szCs w:val="24"/>
        </w:rPr>
        <w:t xml:space="preserve"> skaičius padidėjo 19,5 proc. iki 7513. Sergančių asmenų 1000 gyventojų rodiklis  Mažeikių rajono savivaldybėje buvo 145, ženkliai didesnis už šalies vidurkį, kuris buvo 117. Pasaulio sveikatos organizacijos (PSO) atliktas plataus masto tyrimas parodė, jog</w:t>
      </w:r>
      <w:r>
        <w:rPr>
          <w:rFonts w:ascii="TimesNewRomanPSMT" w:hAnsi="TimesNewRomanPSMT" w:cs="TimesNewRomanPSMT"/>
          <w:szCs w:val="24"/>
        </w:rPr>
        <w:t xml:space="preserve"> eliminavus mažo fizinio aktyvumo faktorių, sumažėtų bendras mirtingumas bei padidėtų vidutinė tikėtina gyvenimo trukmė. Veikla problemai spręsti – 65 m. ir vyresnių asmenų sveikos gyvensenos skatinimas, per tęstinius 65 m. ir vyresnių asmenų sveikos gyven</w:t>
      </w:r>
      <w:r>
        <w:rPr>
          <w:rFonts w:ascii="TimesNewRomanPSMT" w:hAnsi="TimesNewRomanPSMT" w:cs="TimesNewRomanPSMT"/>
          <w:szCs w:val="24"/>
        </w:rPr>
        <w:t xml:space="preserve">senos teorinius-praktinius mokymus psichikos sveikatos raštingumui didinti, išmokti fizinių pratimų, padedančių stiprinti kraujotakos sistemą, pusiausvyrą ir koordinaciją. </w:t>
      </w:r>
    </w:p>
    <w:p w14:paraId="785B3191" w14:textId="77777777" w:rsidR="002F41E5" w:rsidRDefault="00124FBE">
      <w:pPr>
        <w:ind w:firstLine="851"/>
        <w:jc w:val="both"/>
        <w:rPr>
          <w:rFonts w:ascii="TimesNewRomanPSMT" w:hAnsi="TimesNewRomanPSMT" w:cs="TimesNewRomanPSMT"/>
          <w:szCs w:val="24"/>
        </w:rPr>
      </w:pPr>
      <w:r>
        <w:rPr>
          <w:rFonts w:ascii="TimesNewRomanPS-BoldMT" w:hAnsi="TimesNewRomanPS-BoldMT" w:cs="TimesNewRomanPS-BoldMT"/>
          <w:bCs/>
          <w:szCs w:val="24"/>
        </w:rPr>
        <w:t xml:space="preserve">6. </w:t>
      </w:r>
      <w:r>
        <w:rPr>
          <w:rFonts w:ascii="TimesNewRomanPSMT" w:hAnsi="TimesNewRomanPSMT" w:cs="TimesNewRomanPSMT"/>
          <w:szCs w:val="24"/>
        </w:rPr>
        <w:t>Lietuvos agrarinės ekonomikos instituto tyrimas parodė, kad vyresnio amžiaus gyv</w:t>
      </w:r>
      <w:r>
        <w:rPr>
          <w:rFonts w:ascii="TimesNewRomanPSMT" w:hAnsi="TimesNewRomanPSMT" w:cs="TimesNewRomanPSMT"/>
          <w:szCs w:val="24"/>
        </w:rPr>
        <w:t>entojai, gyvenantys kaimo ir atokiose vietovėse susiduria su ribotu paslaugų pasiekiamumu, įskaitant sveikatos prevencijos paslaugas. Siekiant, kad sveikatos sutrikimai pasireikštų kuo vėlesniame amžiuje, svarbu, kad kaimo bendruomenės gautų sveikatos prev</w:t>
      </w:r>
      <w:r>
        <w:rPr>
          <w:rFonts w:ascii="TimesNewRomanPSMT" w:hAnsi="TimesNewRomanPSMT" w:cs="TimesNewRomanPSMT"/>
          <w:szCs w:val="24"/>
        </w:rPr>
        <w:t xml:space="preserve">encijos paslaugas kuo anksčiau, todėl svarbu užtikrinti šių paslaugų prieinamumą, priartinant jas prie paslaugų gavėjų. Veikla problemai spręsti – sveikų bendruomenių kūrimas, vykdant </w:t>
      </w:r>
      <w:proofErr w:type="spellStart"/>
      <w:r>
        <w:rPr>
          <w:rFonts w:ascii="TimesNewRomanPSMT" w:hAnsi="TimesNewRomanPSMT" w:cs="TimesNewRomanPSMT"/>
          <w:szCs w:val="24"/>
        </w:rPr>
        <w:t>daugiakomponentę</w:t>
      </w:r>
      <w:proofErr w:type="spellEnd"/>
      <w:r>
        <w:rPr>
          <w:rFonts w:ascii="TimesNewRomanPSMT" w:hAnsi="TimesNewRomanPSMT" w:cs="TimesNewRomanPSMT"/>
          <w:szCs w:val="24"/>
        </w:rPr>
        <w:t xml:space="preserve"> mokymo intervenciją, skirtą kaimiškose vietovėse gyvena</w:t>
      </w:r>
      <w:r>
        <w:rPr>
          <w:rFonts w:ascii="TimesNewRomanPSMT" w:hAnsi="TimesNewRomanPSMT" w:cs="TimesNewRomanPSMT"/>
          <w:szCs w:val="24"/>
        </w:rPr>
        <w:t>ntiems asmenims (</w:t>
      </w:r>
      <w:proofErr w:type="spellStart"/>
      <w:r>
        <w:rPr>
          <w:rFonts w:ascii="TimesNewRomanPSMT" w:hAnsi="TimesNewRomanPSMT" w:cs="TimesNewRomanPSMT"/>
          <w:szCs w:val="24"/>
        </w:rPr>
        <w:t>sveikatinančio</w:t>
      </w:r>
      <w:proofErr w:type="spellEnd"/>
      <w:r>
        <w:rPr>
          <w:rFonts w:ascii="TimesNewRomanPSMT" w:hAnsi="TimesNewRomanPSMT" w:cs="TimesNewRomanPSMT"/>
          <w:szCs w:val="24"/>
        </w:rPr>
        <w:t xml:space="preserve"> fizinio aktyvumo,  sveikos mitybos užsiėmimai). </w:t>
      </w:r>
    </w:p>
    <w:p w14:paraId="5D896FD3" w14:textId="77777777" w:rsidR="002F41E5" w:rsidRDefault="00124FBE">
      <w:pPr>
        <w:ind w:firstLine="851"/>
        <w:jc w:val="both"/>
        <w:rPr>
          <w:rFonts w:ascii="TimesNewRomanPSMT" w:hAnsi="TimesNewRomanPSMT" w:cs="TimesNewRomanPSMT"/>
          <w:szCs w:val="24"/>
        </w:rPr>
      </w:pPr>
      <w:r>
        <w:rPr>
          <w:rFonts w:ascii="TimesNewRomanPS-BoldMT" w:hAnsi="TimesNewRomanPS-BoldMT" w:cs="TimesNewRomanPS-BoldMT"/>
          <w:bCs/>
          <w:szCs w:val="24"/>
        </w:rPr>
        <w:t xml:space="preserve">7. </w:t>
      </w:r>
      <w:r>
        <w:rPr>
          <w:rFonts w:ascii="TimesNewRomanPSMT" w:hAnsi="TimesNewRomanPSMT" w:cs="TimesNewRomanPSMT"/>
          <w:szCs w:val="24"/>
        </w:rPr>
        <w:t xml:space="preserve">2021 m. Higienos instituto vaikų gyvensenos tyrimo duomenys rodo, kad Mažeikių rajono savivaldybės mokyklose daugiau nei 20 proc. mokinių vyresnių nei 11 metų, yra vartoję </w:t>
      </w:r>
      <w:r>
        <w:rPr>
          <w:rFonts w:ascii="TimesNewRomanPSMT" w:hAnsi="TimesNewRomanPSMT" w:cs="TimesNewRomanPSMT"/>
          <w:szCs w:val="24"/>
        </w:rPr>
        <w:t>alkoholinius gėrimus, rūkė elektronines cigaretes ar naudojo panašius elektroninius įtaisus rūkymui, palyginus su kitomis Europos šalimis, Lietuvos vaikai patenka tarp dažniausiai rūkančių ir alkoholinius gėrimus vartojančių bendraamžių. Veikla problemai s</w:t>
      </w:r>
      <w:r>
        <w:rPr>
          <w:rFonts w:ascii="TimesNewRomanPSMT" w:hAnsi="TimesNewRomanPSMT" w:cs="TimesNewRomanPSMT"/>
          <w:szCs w:val="24"/>
        </w:rPr>
        <w:t>pręsti - Jaunimo psichoaktyviųjų medžiagų vartojimo prevencija. Veikla – vasaros jaunimo stovykla, kurioje vykdomas psichikos sveikatos stiprinimas ir raštingumo apie psichoaktyviąsias medžiagas (PM) didinimas, siekiant sustiprinti atsparumą jas vartoti. S</w:t>
      </w:r>
      <w:r>
        <w:rPr>
          <w:rFonts w:ascii="TimesNewRomanPSMT" w:hAnsi="TimesNewRomanPSMT" w:cs="TimesNewRomanPSMT"/>
          <w:szCs w:val="24"/>
        </w:rPr>
        <w:t>tovykloje atliekant tęstines veiklas organizuojama jaunimo savitarpio pagalba, mokymas, palaikymas nevartoti PM.</w:t>
      </w:r>
    </w:p>
    <w:p w14:paraId="7C93DE12" w14:textId="77777777" w:rsidR="002F41E5" w:rsidRDefault="00124FBE">
      <w:pPr>
        <w:ind w:firstLine="851"/>
        <w:jc w:val="both"/>
        <w:rPr>
          <w:szCs w:val="24"/>
          <w:lang w:eastAsia="lt-LT"/>
        </w:rPr>
      </w:pPr>
      <w:r>
        <w:rPr>
          <w:szCs w:val="24"/>
          <w:lang w:eastAsia="lt-LT"/>
        </w:rPr>
        <w:t>Planuojamos projekto veiklos atitinka Sveikatos apsaugos ministerijos rekomendacijas (metodiką), paremtos moksliniais tyrimais, pasaulyje taiko</w:t>
      </w:r>
      <w:r>
        <w:rPr>
          <w:szCs w:val="24"/>
          <w:lang w:eastAsia="lt-LT"/>
        </w:rPr>
        <w:t xml:space="preserve">moms gerosiomis praktikomis ir tarptautiniais standartais. </w:t>
      </w:r>
    </w:p>
    <w:p w14:paraId="4FBB525F" w14:textId="77777777" w:rsidR="002F41E5" w:rsidRDefault="00124FBE">
      <w:pPr>
        <w:ind w:firstLine="851"/>
        <w:jc w:val="both"/>
      </w:pPr>
      <w:r>
        <w:lastRenderedPageBreak/>
        <w:t xml:space="preserve">Išanalizavus </w:t>
      </w:r>
      <w:r>
        <w:rPr>
          <w:b/>
          <w:i/>
        </w:rPr>
        <w:t>Plungės rajono savivaldybės</w:t>
      </w:r>
      <w:r>
        <w:t xml:space="preserve"> visuomenės sveikatos būklę, nustatytos šios  problemos ir planuojamos priemonės pokyčiams pasiekti: </w:t>
      </w:r>
    </w:p>
    <w:p w14:paraId="6053EDD6" w14:textId="77777777" w:rsidR="002F41E5" w:rsidRDefault="00124FBE">
      <w:pPr>
        <w:ind w:firstLine="851"/>
        <w:jc w:val="both"/>
        <w:rPr>
          <w:szCs w:val="24"/>
          <w:lang w:eastAsia="lt-LT"/>
        </w:rPr>
      </w:pPr>
      <w:r>
        <w:rPr>
          <w:szCs w:val="24"/>
          <w:lang w:eastAsia="lt-LT"/>
        </w:rPr>
        <w:t>2022 metais suaugusiųjų gyventojų gyvensenos stebėseno</w:t>
      </w:r>
      <w:r>
        <w:rPr>
          <w:szCs w:val="24"/>
          <w:lang w:eastAsia="lt-LT"/>
        </w:rPr>
        <w:t xml:space="preserve">s tyrimo duomenimis, 35,9 proc. plungiškių teigė turintys ilgalaikių sveikatos problemų, </w:t>
      </w:r>
      <w:proofErr w:type="spellStart"/>
      <w:r>
        <w:rPr>
          <w:szCs w:val="24"/>
          <w:lang w:eastAsia="lt-LT"/>
        </w:rPr>
        <w:t>t.y</w:t>
      </w:r>
      <w:proofErr w:type="spellEnd"/>
      <w:r>
        <w:rPr>
          <w:szCs w:val="24"/>
          <w:lang w:eastAsia="lt-LT"/>
        </w:rPr>
        <w:t>. šiek tiek mažiau už šalies vidurkį, kuris buvo lygus 36,9 proc. Penktadalis apklaustųjų bandė pakeisti savo gyvenseną, bet deja nepavyko. 21,8 proc. dalyvavusių a</w:t>
      </w:r>
      <w:r>
        <w:rPr>
          <w:szCs w:val="24"/>
          <w:lang w:eastAsia="lt-LT"/>
        </w:rPr>
        <w:t>pklausoje Plungės rajono gyventojų bandė pakeisti gyvenseną ir jiems pavyko. Fiziškai aktyvesni tapo 30,3 proc., o sveikiau maitintis pradėjo 26,5 proc. apklaustųjų. Energinga fizine veikla, kai reikia didesnių nei įprasta pastangų, pagreitėja kvėpavimas i</w:t>
      </w:r>
      <w:r>
        <w:rPr>
          <w:szCs w:val="24"/>
          <w:lang w:eastAsia="lt-LT"/>
        </w:rPr>
        <w:t>r pulsas 5 ir daugiau dienų per savaitę užsiima 38,5 proc. Plungės rajono gyventojų. Neužsiima jokia aktyvia fizine veikla net 17 proc. apklaustų Plungės rajono gyventojų.</w:t>
      </w:r>
    </w:p>
    <w:p w14:paraId="0ED81718" w14:textId="77777777" w:rsidR="002F41E5" w:rsidRDefault="00124FBE">
      <w:pPr>
        <w:ind w:firstLine="851"/>
        <w:jc w:val="both"/>
        <w:rPr>
          <w:szCs w:val="24"/>
          <w:lang w:eastAsia="lt-LT"/>
        </w:rPr>
      </w:pPr>
      <w:r>
        <w:rPr>
          <w:szCs w:val="24"/>
          <w:lang w:eastAsia="lt-LT"/>
        </w:rPr>
        <w:t>Analizuojant Plungės rajono savivaldybės gyventojų sveikatos duomenis, nustatyta, ka</w:t>
      </w:r>
      <w:r>
        <w:rPr>
          <w:szCs w:val="24"/>
          <w:lang w:eastAsia="lt-LT"/>
        </w:rPr>
        <w:t xml:space="preserve">d sergančiųjų II tipo cukriniu diabetu per 2014-2019 m. padidėjo 52 procentais. Sergamumas II tipo cukriniu diabetu yra susijęs su gyvenimo būdu, nutukimu, kurį lemia  fizinio aktyvumo stoka.  </w:t>
      </w:r>
      <w:r>
        <w:rPr>
          <w:szCs w:val="24"/>
        </w:rPr>
        <w:t>Nutukusių asmenų skaičiaus 1000 gyventojų rodiklis per 2017 - 2</w:t>
      </w:r>
      <w:r>
        <w:rPr>
          <w:szCs w:val="24"/>
        </w:rPr>
        <w:t>021 m. laikotarpį</w:t>
      </w:r>
      <w:r>
        <w:rPr>
          <w:b/>
          <w:szCs w:val="24"/>
        </w:rPr>
        <w:t xml:space="preserve"> </w:t>
      </w:r>
      <w:r>
        <w:rPr>
          <w:szCs w:val="24"/>
        </w:rPr>
        <w:t xml:space="preserve">Plungės rajono savivaldybėje augo beveik dvigubai, nuo </w:t>
      </w:r>
      <w:r>
        <w:rPr>
          <w:szCs w:val="24"/>
          <w:lang w:eastAsia="lt-LT"/>
        </w:rPr>
        <w:t xml:space="preserve">7,45 asmenų 1000 gyventojų 2017 m. iki 14,02 asmenų 1000 gyventojų 2021 m., ir tai buvo didžiausias augimas tarp regiono savivaldybių. </w:t>
      </w:r>
    </w:p>
    <w:p w14:paraId="12FA99DC" w14:textId="77777777" w:rsidR="002F41E5" w:rsidRDefault="00124FBE">
      <w:pPr>
        <w:ind w:firstLine="851"/>
        <w:jc w:val="both"/>
        <w:rPr>
          <w:szCs w:val="24"/>
          <w:lang w:eastAsia="lt-LT"/>
        </w:rPr>
      </w:pPr>
      <w:r>
        <w:t xml:space="preserve">2020 m. Plungės rajono savivaldybės visuomenės </w:t>
      </w:r>
      <w:r>
        <w:t>sveikatos biuras atliko tyrimą, kuriuo metu buvo nustatyta, kad t</w:t>
      </w:r>
      <w:r>
        <w:rPr>
          <w:szCs w:val="24"/>
          <w:lang w:eastAsia="lt-LT"/>
        </w:rPr>
        <w:t>arp Plungės rajono 9 –12 klasių moksleivių elektroninės cigaretės yra tokios pat populiarios kaip ir paprastos (64,2 proc. ir 61,1 proc.), bent kartą per savaitę tabako gaminius vartoja bevei</w:t>
      </w:r>
      <w:r>
        <w:rPr>
          <w:szCs w:val="24"/>
          <w:lang w:eastAsia="lt-LT"/>
        </w:rPr>
        <w:t>k ketvirtadalis (25,4 proc.) moksleivių, alkoholinius gėrimus yra vartoję panašus procentas merginų ir vaikinų (atitinkamai 77,9 proc. ir 76,5 proc.), 15,1 proc. respondentų yra vartoję psichoaktyvias  medžiagas, 1 iš 3 devyniolikamečių per savo gyvenimą y</w:t>
      </w:r>
      <w:r>
        <w:rPr>
          <w:szCs w:val="24"/>
          <w:lang w:eastAsia="lt-LT"/>
        </w:rPr>
        <w:t>ra vartojęs kokią nors narkotinę medžiagą, pusė respondentų, kada nors vartojusių marihuaną, ją vartoja kasdien (53,8 proc.). Apie trečdalis respondentų atsakė sutinkantys ir visiškai sutinkantys, kad vartoti tabako gaminius vis dar yra madinga (30,4 proc.</w:t>
      </w:r>
      <w:r>
        <w:rPr>
          <w:szCs w:val="24"/>
          <w:lang w:eastAsia="lt-LT"/>
        </w:rPr>
        <w:t>), net 6 iš 10 Plungės rajone gyvenančių jaunuolių mano, kad  jauniems žmonėms vartoti alkoholį linksminantis yra įprasta (60 proc.) .</w:t>
      </w:r>
    </w:p>
    <w:p w14:paraId="32ED51DB" w14:textId="77777777" w:rsidR="002F41E5" w:rsidRDefault="00124FBE">
      <w:pPr>
        <w:ind w:firstLine="851"/>
        <w:jc w:val="both"/>
        <w:rPr>
          <w:szCs w:val="24"/>
          <w:lang w:eastAsia="lt-LT"/>
        </w:rPr>
      </w:pPr>
      <w:r>
        <w:rPr>
          <w:szCs w:val="24"/>
          <w:lang w:eastAsia="lt-LT"/>
        </w:rPr>
        <w:t>Išnagrinėjus pasaulyje taikytas gerąsias praktikas ir tarptautinius standartus pagal  Sveikatos apsaugos ministerijos pat</w:t>
      </w:r>
      <w:r>
        <w:rPr>
          <w:szCs w:val="24"/>
          <w:lang w:eastAsia="lt-LT"/>
        </w:rPr>
        <w:t xml:space="preserve">eiktas rekomendacijas (metodiką) bei remiantis moksliniais tyrimais, planuojamos šios </w:t>
      </w:r>
      <w:r>
        <w:t>veiklos pokyčiams pasiekti</w:t>
      </w:r>
      <w:r>
        <w:rPr>
          <w:szCs w:val="24"/>
          <w:lang w:eastAsia="lt-LT"/>
        </w:rPr>
        <w:t>:</w:t>
      </w:r>
    </w:p>
    <w:p w14:paraId="556A1C98" w14:textId="77777777" w:rsidR="002F41E5" w:rsidRDefault="00124FBE">
      <w:pPr>
        <w:ind w:firstLine="851"/>
        <w:jc w:val="both"/>
        <w:rPr>
          <w:bCs/>
          <w:szCs w:val="24"/>
          <w:lang w:eastAsia="lt-LT"/>
        </w:rPr>
      </w:pPr>
      <w:r>
        <w:rPr>
          <w:szCs w:val="24"/>
          <w:lang w:eastAsia="lt-LT"/>
        </w:rPr>
        <w:t xml:space="preserve">1. </w:t>
      </w:r>
      <w:r>
        <w:rPr>
          <w:bCs/>
          <w:szCs w:val="24"/>
          <w:lang w:eastAsia="lt-LT"/>
        </w:rPr>
        <w:t>Prevencinės priemonės, stiprinančios visuomenės sveikatą bei psichologinę gerovę ir atsparumą. Planuojami s</w:t>
      </w:r>
      <w:r>
        <w:rPr>
          <w:szCs w:val="24"/>
        </w:rPr>
        <w:t>veikos gyvensenos skatinimo užsi</w:t>
      </w:r>
      <w:r>
        <w:rPr>
          <w:szCs w:val="24"/>
        </w:rPr>
        <w:t xml:space="preserve">ėmimai - mankštos baseine (vandens aerobika)+ plaukiojimas, judesio terapija, </w:t>
      </w:r>
      <w:proofErr w:type="spellStart"/>
      <w:r>
        <w:rPr>
          <w:color w:val="222222"/>
          <w:szCs w:val="24"/>
          <w:shd w:val="clear" w:color="auto" w:fill="FFFFFF"/>
        </w:rPr>
        <w:t>p</w:t>
      </w:r>
      <w:r>
        <w:rPr>
          <w:szCs w:val="24"/>
        </w:rPr>
        <w:t>ilates</w:t>
      </w:r>
      <w:proofErr w:type="spellEnd"/>
      <w:r>
        <w:rPr>
          <w:szCs w:val="24"/>
        </w:rPr>
        <w:t xml:space="preserve">, aerobinės/anaerobinės mankštos, joga, vasaros mankštos, kineziterapinės mankštos, tinklinio treniruotės, garso, meno terapija, sveikos gyvensenos skatinimo stovykla. </w:t>
      </w:r>
      <w:r>
        <w:rPr>
          <w:bCs/>
          <w:szCs w:val="24"/>
          <w:lang w:eastAsia="lt-LT"/>
        </w:rPr>
        <w:t>Dėm</w:t>
      </w:r>
      <w:r>
        <w:rPr>
          <w:bCs/>
          <w:szCs w:val="24"/>
          <w:lang w:eastAsia="lt-LT"/>
        </w:rPr>
        <w:t xml:space="preserve">esys sveikos gyvensenos skatinimui, psichologinei gerovei bei psichologinio atsparumo didinimui. </w:t>
      </w:r>
    </w:p>
    <w:p w14:paraId="62D7CB7C" w14:textId="77777777" w:rsidR="002F41E5" w:rsidRDefault="00124FBE">
      <w:pPr>
        <w:ind w:firstLine="851"/>
        <w:jc w:val="both"/>
        <w:rPr>
          <w:iCs/>
          <w:szCs w:val="24"/>
        </w:rPr>
      </w:pPr>
      <w:r>
        <w:rPr>
          <w:iCs/>
          <w:szCs w:val="24"/>
        </w:rPr>
        <w:t>1.</w:t>
      </w:r>
      <w:r>
        <w:rPr>
          <w:iCs/>
          <w:szCs w:val="24"/>
        </w:rPr>
        <w:tab/>
      </w:r>
      <w:r>
        <w:rPr>
          <w:bCs/>
          <w:szCs w:val="24"/>
          <w:lang w:eastAsia="lt-LT"/>
        </w:rPr>
        <w:t>Lėtinių neinfekcinių ligų prevencijos veiklos, prevencinės priemonės mitybos įpročiams keisti, p</w:t>
      </w:r>
      <w:r>
        <w:rPr>
          <w:iCs/>
          <w:szCs w:val="24"/>
        </w:rPr>
        <w:t>asaulinės diabeto dienos švietėjiški renginiai, metodinės m</w:t>
      </w:r>
      <w:r>
        <w:rPr>
          <w:iCs/>
          <w:szCs w:val="24"/>
        </w:rPr>
        <w:t xml:space="preserve">edžiagos rengimas. </w:t>
      </w:r>
      <w:r>
        <w:rPr>
          <w:bCs/>
          <w:szCs w:val="24"/>
          <w:lang w:eastAsia="lt-LT"/>
        </w:rPr>
        <w:t>Planuojamas g</w:t>
      </w:r>
      <w:r>
        <w:rPr>
          <w:szCs w:val="24"/>
        </w:rPr>
        <w:t>liukozės kiekio kraujyje ištyrimas prieš kiekviena veiklą, stovyklos, paskaitos, žygiai dviračiais ir pėsčiomis, m</w:t>
      </w:r>
      <w:r>
        <w:rPr>
          <w:iCs/>
          <w:szCs w:val="24"/>
        </w:rPr>
        <w:t xml:space="preserve">ankštos baseine,  (vandens aerobika)+ plaukiojimas. </w:t>
      </w:r>
      <w:r>
        <w:rPr>
          <w:szCs w:val="24"/>
        </w:rPr>
        <w:t>Antsvorį ar nutukimą turintiems asmenims.</w:t>
      </w:r>
      <w:r>
        <w:rPr>
          <w:sz w:val="20"/>
        </w:rPr>
        <w:t xml:space="preserve"> </w:t>
      </w:r>
    </w:p>
    <w:p w14:paraId="0BA62CD7" w14:textId="77777777" w:rsidR="002F41E5" w:rsidRDefault="00124FBE">
      <w:pPr>
        <w:ind w:firstLine="851"/>
        <w:jc w:val="both"/>
        <w:rPr>
          <w:szCs w:val="24"/>
        </w:rPr>
      </w:pPr>
      <w:r>
        <w:rPr>
          <w:szCs w:val="24"/>
        </w:rPr>
        <w:t>2.</w:t>
      </w:r>
      <w:r>
        <w:rPr>
          <w:szCs w:val="24"/>
        </w:rPr>
        <w:tab/>
      </w:r>
      <w:r>
        <w:rPr>
          <w:szCs w:val="24"/>
          <w:lang w:eastAsia="lt-LT"/>
        </w:rPr>
        <w:t xml:space="preserve">Priklausomybės ligų prevencijos (psichoaktyviųjų medžiagų vartojimo mažinimo) paslaugų prieinamumo didinimas ir įvairių iniciatyvų tikslinėse grupėse skatinimas. </w:t>
      </w:r>
      <w:r>
        <w:rPr>
          <w:bCs/>
          <w:szCs w:val="24"/>
          <w:lang w:eastAsia="lt-LT"/>
        </w:rPr>
        <w:t>Šioje veikloje dalyvaus Plungės rajono jaunimas (nuo 10 iki 29 m. ), kurie sudarys 70 proc. vi</w:t>
      </w:r>
      <w:r>
        <w:rPr>
          <w:bCs/>
          <w:szCs w:val="24"/>
          <w:lang w:eastAsia="lt-LT"/>
        </w:rPr>
        <w:t>sų dalyvių ir jų šeimos nariai, bendruomenė, mokykla. P</w:t>
      </w:r>
      <w:r>
        <w:rPr>
          <w:szCs w:val="24"/>
        </w:rPr>
        <w:t>lanuojama Šeimos stovykla „Suprask mane“ vaikams nuo 10 m iki 17 m. ir jų tėvams, grupiniai užsiėmimai tėvams ir vaikams su psichologu tarpusavio ryšio stiprinimui + dienos išvyka (baseinas ar kita sve</w:t>
      </w:r>
      <w:r>
        <w:rPr>
          <w:szCs w:val="24"/>
        </w:rPr>
        <w:t>ikatingumą skatinanti veikla) vaikams 10+ ir jų tėvams. Eksperimentuojančio su psichoaktyviosiomis medžiagomis jaunimo  pritraukimas į užimtumą. Dienos stovykla. Tikslinė grupė – nuo 15 iki 17 m.  Psichologo ar psichiatro paslaugų ciklas. Tikslinė grupė 10</w:t>
      </w:r>
      <w:r>
        <w:rPr>
          <w:szCs w:val="24"/>
        </w:rPr>
        <w:t xml:space="preserve">+; Psichologo ar psichiatro paslaugų ciklas, 10+ metų vaikų tėvai, jų pedagogai. </w:t>
      </w:r>
    </w:p>
    <w:p w14:paraId="0112F0F4" w14:textId="77777777" w:rsidR="002F41E5" w:rsidRDefault="00124FBE">
      <w:pPr>
        <w:ind w:firstLine="851"/>
        <w:jc w:val="both"/>
      </w:pPr>
      <w:r>
        <w:t xml:space="preserve">Išanalizavus </w:t>
      </w:r>
      <w:r>
        <w:rPr>
          <w:b/>
          <w:i/>
        </w:rPr>
        <w:t>Rietavo savivaldybės</w:t>
      </w:r>
      <w:r>
        <w:t xml:space="preserve"> visuomenės sveikatos būklę, nustatytos šios  problemos ir planuojamos veiklos pokyčiams pasiekti: </w:t>
      </w:r>
    </w:p>
    <w:p w14:paraId="4EB260A2" w14:textId="77777777" w:rsidR="002F41E5" w:rsidRDefault="00124FBE">
      <w:pPr>
        <w:ind w:firstLine="851"/>
        <w:jc w:val="both"/>
        <w:rPr>
          <w:iCs/>
        </w:rPr>
      </w:pPr>
      <w:r>
        <w:rPr>
          <w:iCs/>
        </w:rPr>
        <w:lastRenderedPageBreak/>
        <w:t>1.</w:t>
      </w:r>
      <w:r>
        <w:rPr>
          <w:iCs/>
        </w:rPr>
        <w:tab/>
        <w:t>Remiantis Rietavo savivaldybės mokinių</w:t>
      </w:r>
      <w:r>
        <w:rPr>
          <w:iCs/>
        </w:rPr>
        <w:t xml:space="preserve"> gyvensenos stebėsenos tyrimais,  38,5 proc. mokinių 5 ir daugiau dienų mankštinasi ar sportuoja bent 60 minučių (skaičiuojant kartu su fizinio ugdymo pamokomis), kas atitinka Pasaulio sveikatos organizacijos rekomendacijas. Planuojamomis projekto veiklomi</w:t>
      </w:r>
      <w:r>
        <w:rPr>
          <w:iCs/>
        </w:rPr>
        <w:t xml:space="preserve">s bus siekiama išlaikyti pasiektą mokinių fizinio aktyvumo lygį ir toliau jį didinti. </w:t>
      </w:r>
    </w:p>
    <w:p w14:paraId="2C321633" w14:textId="77777777" w:rsidR="002F41E5" w:rsidRDefault="00124FBE">
      <w:pPr>
        <w:tabs>
          <w:tab w:val="left" w:pos="0"/>
          <w:tab w:val="left" w:pos="426"/>
        </w:tabs>
        <w:ind w:firstLine="851"/>
        <w:jc w:val="both"/>
        <w:rPr>
          <w:iCs/>
          <w:szCs w:val="24"/>
          <w:lang w:eastAsia="lt-LT"/>
        </w:rPr>
      </w:pPr>
      <w:r>
        <w:rPr>
          <w:iCs/>
          <w:szCs w:val="24"/>
          <w:lang w:eastAsia="lt-LT"/>
        </w:rPr>
        <w:t>2.</w:t>
      </w:r>
      <w:r>
        <w:rPr>
          <w:iCs/>
          <w:szCs w:val="24"/>
          <w:lang w:eastAsia="lt-LT"/>
        </w:rPr>
        <w:tab/>
        <w:t>Rietavo savivaldybėje, kaip ir visoje Lietuvoje, dažniausia mirčių priežastis yra kraujotakos sistemos ligos.  2022 m. Rietavo savivaldybės gyventojų mirtys nuo krauj</w:t>
      </w:r>
      <w:r>
        <w:rPr>
          <w:iCs/>
          <w:szCs w:val="24"/>
          <w:lang w:eastAsia="lt-LT"/>
        </w:rPr>
        <w:t xml:space="preserve">otakos sistemos ligų sudarė 51,3 proc. visų mirčių, </w:t>
      </w:r>
      <w:r>
        <w:rPr>
          <w:szCs w:val="24"/>
          <w:lang w:eastAsia="lt-LT"/>
        </w:rPr>
        <w:t>piktybiniai navikai – 19,5 proc. (2014 m. – 21,8 proc.). Rietavo savivaldybės gyventojų ligotumas 1000 gyventojų per 2014–2022 m. laikotarpį padidėjo nuo 793,3 iki 869,4 atvejų 1000 gyventojų. 2018–2020 m</w:t>
      </w:r>
      <w:r>
        <w:rPr>
          <w:szCs w:val="24"/>
          <w:lang w:eastAsia="lt-LT"/>
        </w:rPr>
        <w:t>. laikotarpiu šis rodiklis mažėjo,  tačiau 2021 - 2022 m. vėl didėja ir yra aukštesnis už šalies vidurkį (Rietavo savivaldybės rodiklis - 869,4 1000-iui gyventojų, šalies vidurkis – 881,1 1000–</w:t>
      </w:r>
      <w:proofErr w:type="spellStart"/>
      <w:r>
        <w:rPr>
          <w:szCs w:val="24"/>
          <w:lang w:eastAsia="lt-LT"/>
        </w:rPr>
        <w:t>iui</w:t>
      </w:r>
      <w:proofErr w:type="spellEnd"/>
      <w:r>
        <w:rPr>
          <w:szCs w:val="24"/>
          <w:lang w:eastAsia="lt-LT"/>
        </w:rPr>
        <w:t xml:space="preserve"> gyventojų (Privalomojo sveikatos draudimo fondo informacinė</w:t>
      </w:r>
      <w:r>
        <w:rPr>
          <w:szCs w:val="24"/>
          <w:lang w:eastAsia="lt-LT"/>
        </w:rPr>
        <w:t xml:space="preserve">s sistemos duomenys). II tipo cukriniu diabetu sergančių 1000 gyventojų rodiklis per 2017–2021 m. laikotarpį Rietavo savivaldybėje augo  27 proc. nuo 224 iki 277 asmenų, </w:t>
      </w:r>
      <w:proofErr w:type="spellStart"/>
      <w:r>
        <w:rPr>
          <w:szCs w:val="24"/>
          <w:lang w:eastAsia="lt-LT"/>
        </w:rPr>
        <w:t>t.y</w:t>
      </w:r>
      <w:proofErr w:type="spellEnd"/>
      <w:r>
        <w:rPr>
          <w:szCs w:val="24"/>
          <w:lang w:eastAsia="lt-LT"/>
        </w:rPr>
        <w:t xml:space="preserve">. beveik dvigubai daugiau už šalies vidurkį 14 proc. </w:t>
      </w:r>
      <w:r>
        <w:rPr>
          <w:iCs/>
          <w:szCs w:val="24"/>
          <w:lang w:eastAsia="lt-LT"/>
        </w:rPr>
        <w:t>Žemas gyventojų fizinis aktyvu</w:t>
      </w:r>
      <w:r>
        <w:rPr>
          <w:iCs/>
          <w:szCs w:val="24"/>
          <w:lang w:eastAsia="lt-LT"/>
        </w:rPr>
        <w:t xml:space="preserve">mas, sveikatai nepalankus gyvenimo būdas lemia gyventojų ligotumą, mirtingumą, žemą psichologinį atsparumą.  </w:t>
      </w:r>
      <w:r>
        <w:rPr>
          <w:szCs w:val="24"/>
          <w:lang w:eastAsia="lt-LT"/>
        </w:rPr>
        <w:t xml:space="preserve"> </w:t>
      </w:r>
    </w:p>
    <w:p w14:paraId="188A5E53" w14:textId="77777777" w:rsidR="002F41E5" w:rsidRDefault="00124FBE">
      <w:pPr>
        <w:ind w:firstLine="851"/>
        <w:jc w:val="both"/>
        <w:rPr>
          <w:iCs/>
          <w:szCs w:val="24"/>
          <w:lang w:eastAsia="lt-LT"/>
        </w:rPr>
      </w:pPr>
      <w:r>
        <w:rPr>
          <w:iCs/>
          <w:szCs w:val="24"/>
          <w:lang w:eastAsia="lt-LT"/>
        </w:rPr>
        <w:t>Problemai spręsti planuojama veikla – kompleksinė lėtinių neinfekcinių ligų ir traumų prevencija, įgyvendinant  programą „AŠ JUDU“ (fizinis aktyv</w:t>
      </w:r>
      <w:r>
        <w:rPr>
          <w:iCs/>
          <w:szCs w:val="24"/>
          <w:lang w:eastAsia="lt-LT"/>
        </w:rPr>
        <w:t xml:space="preserve">umas per vaikščiojimą), gyvenimo būdo keitimo programą, orientuotą į sveikos gyvensenos pasirinkimą,  pirmosios pagalbos mokymus. </w:t>
      </w:r>
    </w:p>
    <w:p w14:paraId="0F5147AF" w14:textId="77777777" w:rsidR="002F41E5" w:rsidRDefault="00124FBE">
      <w:pPr>
        <w:ind w:firstLine="851"/>
        <w:jc w:val="both"/>
        <w:rPr>
          <w:iCs/>
          <w:szCs w:val="24"/>
          <w:lang w:eastAsia="lt-LT"/>
        </w:rPr>
      </w:pPr>
      <w:r>
        <w:rPr>
          <w:iCs/>
          <w:szCs w:val="24"/>
          <w:lang w:eastAsia="lt-LT"/>
        </w:rPr>
        <w:t xml:space="preserve">3. Rietavo savivaldybės mokinių gyvensenos stebėsenos tyrimai rodo, kad  </w:t>
      </w:r>
      <w:r>
        <w:rPr>
          <w:i/>
          <w:iCs/>
          <w:szCs w:val="24"/>
          <w:lang w:eastAsia="lt-LT"/>
        </w:rPr>
        <w:t>žalingas elektroninių cigarečių vartojimas</w:t>
      </w:r>
      <w:r>
        <w:rPr>
          <w:iCs/>
          <w:szCs w:val="24"/>
          <w:lang w:eastAsia="lt-LT"/>
        </w:rPr>
        <w:t xml:space="preserve"> yra didėj</w:t>
      </w:r>
      <w:r>
        <w:rPr>
          <w:iCs/>
          <w:szCs w:val="24"/>
          <w:lang w:eastAsia="lt-LT"/>
        </w:rPr>
        <w:t xml:space="preserve">antis: 2016–2020 m. laikotarpiu  elektroninių cigarečių rūkymas arba panašių elektroninių įtaisų rūkymui naudojimas statistiškai reikšmingai </w:t>
      </w:r>
      <w:r>
        <w:rPr>
          <w:i/>
          <w:szCs w:val="24"/>
          <w:lang w:eastAsia="lt-LT"/>
        </w:rPr>
        <w:t>padidėjo.</w:t>
      </w:r>
      <w:r>
        <w:rPr>
          <w:iCs/>
          <w:szCs w:val="24"/>
          <w:lang w:eastAsia="lt-LT"/>
        </w:rPr>
        <w:t xml:space="preserve"> Per paskutinius 12 mėnesių bent kartą rūkusiųjų elektronines cigaretes ar naudojusiųjų panašius elektroni</w:t>
      </w:r>
      <w:r>
        <w:rPr>
          <w:iCs/>
          <w:szCs w:val="24"/>
          <w:lang w:eastAsia="lt-LT"/>
        </w:rPr>
        <w:t xml:space="preserve">nius įtaisus rūkymui, </w:t>
      </w:r>
      <w:r>
        <w:rPr>
          <w:i/>
          <w:szCs w:val="24"/>
          <w:lang w:eastAsia="lt-LT"/>
        </w:rPr>
        <w:t>padaugėjo</w:t>
      </w:r>
      <w:r>
        <w:rPr>
          <w:iCs/>
          <w:szCs w:val="24"/>
          <w:lang w:eastAsia="lt-LT"/>
        </w:rPr>
        <w:t xml:space="preserve"> nuo 8,1 proc. iki 23,1 proc. Planuojamos prevencinės veiklos elektroninių cigarečių, kitų psichoaktyvių medžiagų vartojimui jaunimo tarpe mažinti. Intervencijos bus nukreiptos į socialinių ir sveikatos raštingumo žinių ir įg</w:t>
      </w:r>
      <w:r>
        <w:rPr>
          <w:iCs/>
          <w:szCs w:val="24"/>
          <w:lang w:eastAsia="lt-LT"/>
        </w:rPr>
        <w:t>ūdžių suteikimą, siekiant mažinti priklausomybes. Planuojama, kad apie 70 proc., veiklose dalyvaujančių asmenų bus vaikai, jaunimas ir apie 30 proc. dalyvaujančių asmenų vaikų, jaunimo aplinkos nariai (šeimos, mokyklos, bendruomenės nariai).</w:t>
      </w:r>
    </w:p>
    <w:p w14:paraId="3C37BA86" w14:textId="77777777" w:rsidR="002F41E5" w:rsidRDefault="00124FBE">
      <w:pPr>
        <w:ind w:firstLine="851"/>
        <w:jc w:val="both"/>
        <w:rPr>
          <w:iCs/>
          <w:lang w:eastAsia="lt-LT"/>
        </w:rPr>
      </w:pPr>
      <w:r>
        <w:rPr>
          <w:iCs/>
          <w:szCs w:val="24"/>
        </w:rPr>
        <w:t xml:space="preserve">Planuojamomis </w:t>
      </w:r>
      <w:r>
        <w:rPr>
          <w:iCs/>
          <w:szCs w:val="24"/>
        </w:rPr>
        <w:t xml:space="preserve">projekto veiklomis, </w:t>
      </w:r>
      <w:r>
        <w:rPr>
          <w:iCs/>
          <w:lang w:eastAsia="lt-LT"/>
        </w:rPr>
        <w:t xml:space="preserve">pagrįstomis mokslo įrodymais, pripažintomis gerąja praktika ar tarptautiniais standartais pagal Sveikatos apsaugos ministerijos pateiktas rekomendacijas, </w:t>
      </w:r>
      <w:r>
        <w:rPr>
          <w:iCs/>
          <w:szCs w:val="24"/>
        </w:rPr>
        <w:t xml:space="preserve">bus siekiama pokyčių per </w:t>
      </w:r>
      <w:r>
        <w:rPr>
          <w:bCs/>
          <w:szCs w:val="24"/>
          <w:lang w:eastAsia="lt-LT"/>
        </w:rPr>
        <w:t>pasirinktas fizinio aktyvumo didinimo ir gyvenimo būdo ke</w:t>
      </w:r>
      <w:r>
        <w:rPr>
          <w:bCs/>
          <w:szCs w:val="24"/>
          <w:lang w:eastAsia="lt-LT"/>
        </w:rPr>
        <w:t xml:space="preserve">itimo programas, motyvuojančias pasirinkti sveiką gyvenseną, </w:t>
      </w:r>
      <w:r>
        <w:rPr>
          <w:bCs/>
          <w:szCs w:val="24"/>
        </w:rPr>
        <w:t xml:space="preserve">didinant sveikatos raštingumo lygį, </w:t>
      </w:r>
      <w:r>
        <w:rPr>
          <w:bCs/>
          <w:szCs w:val="24"/>
          <w:lang w:eastAsia="lt-LT"/>
        </w:rPr>
        <w:t xml:space="preserve">gerinant </w:t>
      </w:r>
      <w:r>
        <w:rPr>
          <w:bCs/>
          <w:szCs w:val="24"/>
        </w:rPr>
        <w:t xml:space="preserve">lėtinių neinfekcinių ligų ir </w:t>
      </w:r>
      <w:r>
        <w:rPr>
          <w:iCs/>
        </w:rPr>
        <w:t xml:space="preserve">psichoaktyvių medžiagų vartojimo </w:t>
      </w:r>
      <w:r>
        <w:rPr>
          <w:bCs/>
          <w:szCs w:val="24"/>
        </w:rPr>
        <w:t>valdymą.</w:t>
      </w:r>
      <w:r>
        <w:rPr>
          <w:bCs/>
          <w:szCs w:val="24"/>
          <w:lang w:eastAsia="lt-LT"/>
        </w:rPr>
        <w:t xml:space="preserve"> Įgyvendinamos veiklos padidins kokybiškų v</w:t>
      </w:r>
      <w:r>
        <w:rPr>
          <w:bCs/>
          <w:szCs w:val="24"/>
        </w:rPr>
        <w:t>isuomenės sveikatos paslaugų prieinam</w:t>
      </w:r>
      <w:r>
        <w:rPr>
          <w:bCs/>
          <w:szCs w:val="24"/>
        </w:rPr>
        <w:t xml:space="preserve">umą tikslinėms grupėms dėl planuojamų teikti mobilių paslaugų, organizuojant veiklas </w:t>
      </w:r>
      <w:r>
        <w:rPr>
          <w:iCs/>
          <w:lang w:eastAsia="lt-LT"/>
        </w:rPr>
        <w:t>nuo savivaldybės centro</w:t>
      </w:r>
      <w:r>
        <w:rPr>
          <w:bCs/>
          <w:szCs w:val="24"/>
        </w:rPr>
        <w:t xml:space="preserve">  </w:t>
      </w:r>
      <w:r>
        <w:rPr>
          <w:iCs/>
          <w:lang w:eastAsia="lt-LT"/>
        </w:rPr>
        <w:t xml:space="preserve">nutolusiuose miesteliuose. </w:t>
      </w:r>
    </w:p>
    <w:p w14:paraId="40FB7821" w14:textId="77777777" w:rsidR="002F41E5" w:rsidRDefault="00124FBE">
      <w:pPr>
        <w:tabs>
          <w:tab w:val="left" w:pos="851"/>
        </w:tabs>
        <w:ind w:firstLine="851"/>
        <w:jc w:val="both"/>
        <w:rPr>
          <w:b/>
          <w:szCs w:val="24"/>
        </w:rPr>
      </w:pPr>
      <w:r>
        <w:t>Išanalizavus</w:t>
      </w:r>
      <w:r>
        <w:rPr>
          <w:b/>
          <w:i/>
        </w:rPr>
        <w:t xml:space="preserve"> Telšių rajono savivaldybės</w:t>
      </w:r>
      <w:r>
        <w:t xml:space="preserve"> visuomenės sveikatos būklę, nustatyta, kad</w:t>
      </w:r>
      <w:r>
        <w:rPr>
          <w:szCs w:val="24"/>
        </w:rPr>
        <w:t xml:space="preserve"> 2020 m. Telšių rajone didžiausias s</w:t>
      </w:r>
      <w:r>
        <w:rPr>
          <w:szCs w:val="24"/>
        </w:rPr>
        <w:t xml:space="preserve">ergamumas buvo kraujotakos sistemos (3455,5 </w:t>
      </w:r>
      <w:proofErr w:type="spellStart"/>
      <w:r>
        <w:rPr>
          <w:szCs w:val="24"/>
        </w:rPr>
        <w:t>atv</w:t>
      </w:r>
      <w:proofErr w:type="spellEnd"/>
      <w:r>
        <w:rPr>
          <w:szCs w:val="24"/>
        </w:rPr>
        <w:t xml:space="preserve">./10 000 gyv.), jungiamojo audinio ir raumenų bei skeleto (2537,1 </w:t>
      </w:r>
      <w:proofErr w:type="spellStart"/>
      <w:r>
        <w:rPr>
          <w:szCs w:val="24"/>
        </w:rPr>
        <w:t>atv</w:t>
      </w:r>
      <w:proofErr w:type="spellEnd"/>
      <w:r>
        <w:rPr>
          <w:szCs w:val="24"/>
        </w:rPr>
        <w:t xml:space="preserve">./10 000 gyv.), psichikos ir elgesio sistemos (1643,7 </w:t>
      </w:r>
      <w:proofErr w:type="spellStart"/>
      <w:r>
        <w:rPr>
          <w:szCs w:val="24"/>
        </w:rPr>
        <w:t>atv</w:t>
      </w:r>
      <w:proofErr w:type="spellEnd"/>
      <w:r>
        <w:rPr>
          <w:szCs w:val="24"/>
        </w:rPr>
        <w:t xml:space="preserve">./10 000 gyv.), nervų sistemos (1757,7 </w:t>
      </w:r>
      <w:proofErr w:type="spellStart"/>
      <w:r>
        <w:rPr>
          <w:szCs w:val="24"/>
        </w:rPr>
        <w:t>atv</w:t>
      </w:r>
      <w:proofErr w:type="spellEnd"/>
      <w:r>
        <w:rPr>
          <w:szCs w:val="24"/>
        </w:rPr>
        <w:t>./ 10 000 gyv.) ligomis. Didėjo sergamuma</w:t>
      </w:r>
      <w:r>
        <w:rPr>
          <w:szCs w:val="24"/>
        </w:rPr>
        <w:t xml:space="preserve">s II tipo cukriniu diabetu (Telšių r. - 55,6/10 000 gyv., Lietuvos – 50,4/10 000 gyv.). Visi rodikliai buvo aukštesni už Lietuvos vidurkius. </w:t>
      </w:r>
    </w:p>
    <w:p w14:paraId="0A3C4E7A" w14:textId="77777777" w:rsidR="002F41E5" w:rsidRDefault="00124FBE">
      <w:pPr>
        <w:tabs>
          <w:tab w:val="left" w:pos="851"/>
        </w:tabs>
        <w:ind w:firstLine="851"/>
        <w:jc w:val="both"/>
        <w:rPr>
          <w:szCs w:val="24"/>
          <w:lang w:eastAsia="lt-LT"/>
        </w:rPr>
      </w:pPr>
      <w:r>
        <w:rPr>
          <w:szCs w:val="24"/>
          <w:lang w:eastAsia="lt-LT"/>
        </w:rPr>
        <w:t>Higienos instituto duomenimis, Telšių rajono savivaldybės gyventojų, turinčių nutukimo diagnozę per 2017</w:t>
      </w:r>
      <w:r>
        <w:t>–</w:t>
      </w:r>
      <w:r>
        <w:rPr>
          <w:szCs w:val="24"/>
          <w:lang w:eastAsia="lt-LT"/>
        </w:rPr>
        <w:t xml:space="preserve">2021 m. padaugėjo 17 proc., 2022 metais Telšių rajone nutukimas buvo nustatytas 120 asmenų, 65 m. ir vyresnių žmonių amžiaus grupėje. </w:t>
      </w:r>
    </w:p>
    <w:p w14:paraId="469B528C" w14:textId="77777777" w:rsidR="002F41E5" w:rsidRDefault="00124FBE">
      <w:pPr>
        <w:ind w:firstLine="851"/>
        <w:jc w:val="both"/>
        <w:rPr>
          <w:szCs w:val="24"/>
          <w:lang w:eastAsia="lt-LT"/>
        </w:rPr>
      </w:pPr>
      <w:r>
        <w:rPr>
          <w:szCs w:val="24"/>
          <w:lang w:eastAsia="lt-LT"/>
        </w:rPr>
        <w:t xml:space="preserve">Higienos instituto (2020 m.) mokyklinio amžiaus vaikų gyvensenos tyrimo duomenimis, Telšių rajono savivaldybėje tik 34,2 </w:t>
      </w:r>
      <w:r>
        <w:rPr>
          <w:szCs w:val="24"/>
          <w:lang w:eastAsia="lt-LT"/>
        </w:rPr>
        <w:t xml:space="preserve">proc. mokyklinio amžiaus vaikų mankštinasi penkias ar daugiau dienų per savaitę, </w:t>
      </w:r>
      <w:proofErr w:type="spellStart"/>
      <w:r>
        <w:rPr>
          <w:szCs w:val="24"/>
          <w:lang w:eastAsia="lt-LT"/>
        </w:rPr>
        <w:t>t.y</w:t>
      </w:r>
      <w:proofErr w:type="spellEnd"/>
      <w:r>
        <w:rPr>
          <w:szCs w:val="24"/>
          <w:lang w:eastAsia="lt-LT"/>
        </w:rPr>
        <w:t>. mažiau už šalies vidurkį – 38,1 proc. Nepakankamas fizinis aktyvumas ir gyvensenos veiksniai skatina  nutukimą,  kuris didina riziką susirgti II tipo cukriniu diabetu, ši</w:t>
      </w:r>
      <w:r>
        <w:rPr>
          <w:szCs w:val="24"/>
          <w:lang w:eastAsia="lt-LT"/>
        </w:rPr>
        <w:t xml:space="preserve">rdies ir kraujagyslių ligomis, sąlygoja lėtinius kaulų ir sąnarių pakitimus, tam tikras onkologines ir kitas su nutukimu susijusias ligas. </w:t>
      </w:r>
    </w:p>
    <w:p w14:paraId="4FBA8F7D" w14:textId="77777777" w:rsidR="002F41E5" w:rsidRDefault="00124FBE">
      <w:pPr>
        <w:ind w:firstLine="851"/>
        <w:jc w:val="both"/>
        <w:rPr>
          <w:szCs w:val="24"/>
          <w:lang w:eastAsia="lt-LT"/>
        </w:rPr>
      </w:pPr>
      <w:r>
        <w:rPr>
          <w:szCs w:val="24"/>
        </w:rPr>
        <w:lastRenderedPageBreak/>
        <w:t>Telšių rajono savivaldybėje psichikos ir elgesio sutrikimais sergančių asmenų skaičius 1000 gyventojų  per 2014–2020</w:t>
      </w:r>
      <w:r>
        <w:rPr>
          <w:szCs w:val="24"/>
        </w:rPr>
        <w:t xml:space="preserve">  metų laikotarpį augimas buvo  didžiausias iš Telšių regiono savivaldybių – 47 procentai, augimas yra didesnis už regiono ir šalies vidurkį (40 ir 10 proc. atitinkamai).  </w:t>
      </w:r>
    </w:p>
    <w:p w14:paraId="431F84F4" w14:textId="77777777" w:rsidR="002F41E5" w:rsidRDefault="00124FBE">
      <w:pPr>
        <w:ind w:firstLine="851"/>
        <w:jc w:val="both"/>
        <w:rPr>
          <w:szCs w:val="24"/>
          <w:lang w:eastAsia="lt-LT"/>
        </w:rPr>
      </w:pPr>
      <w:r>
        <w:rPr>
          <w:szCs w:val="24"/>
          <w:lang w:eastAsia="lt-LT"/>
        </w:rPr>
        <w:t xml:space="preserve">Planuojamos veiklos aukščiau minimoms problemoms spręsti ir pokyčiams pasiekti – </w:t>
      </w:r>
      <w:r>
        <w:rPr>
          <w:bCs/>
          <w:szCs w:val="24"/>
          <w:shd w:val="clear" w:color="auto" w:fill="FFFFFF"/>
        </w:rPr>
        <w:t>sv</w:t>
      </w:r>
      <w:r>
        <w:rPr>
          <w:bCs/>
          <w:szCs w:val="24"/>
          <w:shd w:val="clear" w:color="auto" w:fill="FFFFFF"/>
        </w:rPr>
        <w:t xml:space="preserve">eikos mitybos skatinimas ir nutukimo prevencija, psichinės sveikatos gerinimas per fizinio aktyvumo užsiėmimus, kitas psichologinę gerovę stiprinančias praktikas, sveiko senėjimo užsiėmimus, užsiėmimus, didinančius vaikų kasdienio fizinio aktyvumo krūvį. </w:t>
      </w:r>
      <w:r>
        <w:rPr>
          <w:szCs w:val="24"/>
          <w:lang w:eastAsia="lt-LT"/>
        </w:rPr>
        <w:t>Tikslinė grupė – vaikai, jaunimas, senyvo amžiaus asmenys, rizikos veiksnius sveikatai patiriantys asmenys.</w:t>
      </w:r>
    </w:p>
    <w:p w14:paraId="2B3C569D" w14:textId="77777777" w:rsidR="002F41E5" w:rsidRDefault="00124FBE">
      <w:pPr>
        <w:ind w:firstLine="851"/>
        <w:jc w:val="both"/>
        <w:rPr>
          <w:szCs w:val="24"/>
          <w:lang w:eastAsia="lt-LT"/>
        </w:rPr>
      </w:pPr>
      <w:r>
        <w:rPr>
          <w:szCs w:val="24"/>
          <w:lang w:eastAsia="lt-LT"/>
        </w:rPr>
        <w:t>Psichoaktyvių medžiagų vartojimas – viena aktualiausių problemų, kuriai spręsti reikalinga didinti priklausomybės ligų prevencijos paslaugų prieinam</w:t>
      </w:r>
      <w:r>
        <w:rPr>
          <w:szCs w:val="24"/>
          <w:lang w:eastAsia="lt-LT"/>
        </w:rPr>
        <w:t>umą. 2020 m. Higienos instituto vaikų gyvensenos tyrimo rezultatai rodo, kad Telšių rajono savivaldybėje psichoaktyvių medžiagų vartojimo paplitimas yra didesnis už šalies vidurkį. Iš 633 apklaustų moksleivių, 26,5 proc. respondentų per 30 dienų bent kartą</w:t>
      </w:r>
      <w:r>
        <w:rPr>
          <w:szCs w:val="24"/>
          <w:lang w:eastAsia="lt-LT"/>
        </w:rPr>
        <w:t xml:space="preserve"> rūkė elektronines cigaretes ar naudojo kitus elektroninius prietaisus, o  Lietuvos vidurkis 20,1 proc., 5,4 proc. rūkė tabako gaminius, o 12,8 proc. apklaustųjų nurodė, kad per paskutines 30 dienų vartojo alkoholinius gėrimus, Lietuvos vidurkis 10,6 proc.</w:t>
      </w:r>
      <w:r>
        <w:rPr>
          <w:szCs w:val="24"/>
          <w:lang w:eastAsia="lt-LT"/>
        </w:rPr>
        <w:t>, o per paskutinius 12 mėnesių, bent kartą vartojo 25, 4 proc., o Lietuvos vidurkis 21,9 proc.</w:t>
      </w:r>
    </w:p>
    <w:p w14:paraId="44D393EF" w14:textId="77777777" w:rsidR="002F41E5" w:rsidRDefault="00124FBE">
      <w:pPr>
        <w:ind w:firstLine="851"/>
        <w:jc w:val="both"/>
        <w:rPr>
          <w:szCs w:val="24"/>
        </w:rPr>
      </w:pPr>
      <w:r>
        <w:rPr>
          <w:szCs w:val="24"/>
          <w:lang w:eastAsia="lt-LT"/>
        </w:rPr>
        <w:t>Planuojama v</w:t>
      </w:r>
      <w:r>
        <w:rPr>
          <w:szCs w:val="24"/>
        </w:rPr>
        <w:t xml:space="preserve">eikla problemai spręsti </w:t>
      </w:r>
      <w:r>
        <w:rPr>
          <w:szCs w:val="24"/>
          <w:lang w:eastAsia="lt-LT"/>
        </w:rPr>
        <w:t xml:space="preserve">ir pokyčiams pasiekti </w:t>
      </w:r>
      <w:r>
        <w:rPr>
          <w:szCs w:val="24"/>
        </w:rPr>
        <w:t xml:space="preserve">– </w:t>
      </w:r>
      <w:r>
        <w:rPr>
          <w:bCs/>
          <w:szCs w:val="24"/>
          <w:shd w:val="clear" w:color="auto" w:fill="FFFFFF"/>
        </w:rPr>
        <w:t xml:space="preserve">vaikų ir jaunimo psichoaktyvių medžiagų vartojimo prevencija, </w:t>
      </w:r>
      <w:r>
        <w:rPr>
          <w:szCs w:val="24"/>
        </w:rPr>
        <w:t xml:space="preserve"> psichikos sveikatos stiprinimo ir rašt</w:t>
      </w:r>
      <w:r>
        <w:rPr>
          <w:szCs w:val="24"/>
        </w:rPr>
        <w:t>ingumo apie psichoaktyviąsias medžiagas didinimo užsiėmimai, siekiant sustiprinti atsparumą jas vartoti.</w:t>
      </w:r>
      <w:r>
        <w:t xml:space="preserve"> </w:t>
      </w:r>
      <w:r>
        <w:rPr>
          <w:szCs w:val="24"/>
        </w:rPr>
        <w:t xml:space="preserve">Tikslinė grupė – vaikai, jaunimas ir jų  aplinkos nariai (mokykla, šeima, bendruomenė). </w:t>
      </w:r>
    </w:p>
    <w:p w14:paraId="03DF1BEF" w14:textId="77777777" w:rsidR="002F41E5" w:rsidRDefault="00124FBE">
      <w:pPr>
        <w:ind w:firstLine="851"/>
        <w:jc w:val="both"/>
        <w:rPr>
          <w:bCs/>
        </w:rPr>
      </w:pPr>
      <w:r>
        <w:rPr>
          <w:bCs/>
        </w:rPr>
        <w:t>Telšių regiono savivaldybėse visuomenės sveikatos priežiūros f</w:t>
      </w:r>
      <w:r>
        <w:rPr>
          <w:bCs/>
        </w:rPr>
        <w:t>unkciją  (įskaitant visuomenės sveikatos stiprinimą) įgalioti vykdyti visuomenės sveikatos biurai projekto veiklas suplanavo remdamiesi gerąją praktika, jos atitinka tarptautinius standartus pagal  Sveikatos apsaugos ministerijos pateiktas rekomendacijas (</w:t>
      </w:r>
      <w:r>
        <w:rPr>
          <w:bCs/>
        </w:rPr>
        <w:t>metodiką) bei pagrįstos moksliniais tyrimais.</w:t>
      </w:r>
    </w:p>
    <w:p w14:paraId="213F46B7" w14:textId="77777777" w:rsidR="002F41E5" w:rsidRDefault="00124FBE">
      <w:pPr>
        <w:ind w:firstLine="851"/>
        <w:jc w:val="both"/>
        <w:rPr>
          <w:i/>
          <w:iCs/>
          <w:szCs w:val="24"/>
        </w:rPr>
      </w:pPr>
      <w:r>
        <w:rPr>
          <w:i/>
          <w:iCs/>
          <w:szCs w:val="24"/>
        </w:rPr>
        <w:t>Priemonės įgyvendinimu Telšių regione bus pasiekta kiekybinių ir kokybinių pokyčių:  padidės sveikatos prevencijos viešosios paslaugos gavėjų skaičius, pagerės sveikatos prevencinių paslaugų prieinamumas ir kok</w:t>
      </w:r>
      <w:r>
        <w:rPr>
          <w:i/>
          <w:iCs/>
          <w:szCs w:val="24"/>
        </w:rPr>
        <w:t xml:space="preserve">ybė, gyventojų bazinių poreikių užtikrinimas. </w:t>
      </w:r>
    </w:p>
    <w:p w14:paraId="13889860" w14:textId="77777777" w:rsidR="002F41E5" w:rsidRDefault="00124FBE">
      <w:pPr>
        <w:ind w:firstLine="851"/>
        <w:jc w:val="both"/>
        <w:rPr>
          <w:i/>
          <w:szCs w:val="24"/>
          <w:lang w:eastAsia="lt-LT"/>
        </w:rPr>
      </w:pPr>
      <w:r>
        <w:rPr>
          <w:i/>
          <w:szCs w:val="24"/>
          <w:lang w:eastAsia="lt-LT"/>
        </w:rPr>
        <w:t>Pažangos priemonės įgyvendinimas prisidės prie RPP poveikio rodiklio „Prevencinėmis priemonėmis išvengiamas mirtingumas (standartizuotas)“ | mirusiųjų skaičius 100 tūkst. gyventojų pagerinimo nuo 289 (2020 m.)</w:t>
      </w:r>
      <w:r>
        <w:rPr>
          <w:i/>
          <w:szCs w:val="24"/>
          <w:lang w:eastAsia="lt-LT"/>
        </w:rPr>
        <w:t xml:space="preserve"> iki 170 (2029 m.) . </w:t>
      </w:r>
    </w:p>
    <w:p w14:paraId="7A4A4FB2" w14:textId="77777777" w:rsidR="002F41E5" w:rsidRDefault="00124FBE">
      <w:pPr>
        <w:ind w:firstLine="851"/>
        <w:jc w:val="both"/>
        <w:rPr>
          <w:bCs/>
          <w:szCs w:val="24"/>
          <w:lang w:eastAsia="lt-LT"/>
        </w:rPr>
      </w:pPr>
      <w:r>
        <w:rPr>
          <w:bCs/>
          <w:szCs w:val="24"/>
          <w:lang w:eastAsia="lt-LT"/>
        </w:rPr>
        <w:t>Visų tikslinių grupių poreikiai, atsižvelgiant į demografines, technologines ar kitas pažangos priemonei aktualias tendencijas, šios pažangos priemonės įgyvendinimo ir 5 metų po pažangos priemonės įgyvendinimo pabaigos laikotarpiu bus</w:t>
      </w:r>
      <w:r>
        <w:rPr>
          <w:bCs/>
          <w:szCs w:val="24"/>
          <w:lang w:eastAsia="lt-LT"/>
        </w:rPr>
        <w:t xml:space="preserve"> tik didėjantys dėl socialinių – ekonominių tendencijų,  socialinės atskirties augimo, psichoaktyviųjų medžiagų plitimo, viešųjų paslaugų prieinamumo netolygumų, kai kurių visuomenės sveikatos rodiklių  blogėjimo, visuomenės senėjimo ir kitų veiksnių. </w:t>
      </w:r>
    </w:p>
    <w:p w14:paraId="0FE0620B" w14:textId="77777777" w:rsidR="002F41E5" w:rsidRDefault="002F41E5">
      <w:pPr>
        <w:ind w:firstLine="851"/>
        <w:jc w:val="both"/>
        <w:rPr>
          <w:iCs/>
          <w:szCs w:val="24"/>
        </w:rPr>
      </w:pPr>
    </w:p>
    <w:p w14:paraId="2E1DF592" w14:textId="77777777" w:rsidR="002F41E5" w:rsidRDefault="00124FBE">
      <w:pPr>
        <w:ind w:firstLine="567"/>
        <w:jc w:val="center"/>
        <w:rPr>
          <w:b/>
          <w:bCs/>
        </w:rPr>
      </w:pPr>
      <w:r>
        <w:rPr>
          <w:b/>
          <w:bCs/>
        </w:rPr>
        <w:t>II</w:t>
      </w:r>
      <w:r>
        <w:rPr>
          <w:b/>
          <w:bCs/>
        </w:rPr>
        <w:t>I SKYRIUS</w:t>
      </w:r>
    </w:p>
    <w:p w14:paraId="4E62B702" w14:textId="77777777" w:rsidR="002F41E5" w:rsidRDefault="00124FBE">
      <w:pPr>
        <w:ind w:firstLine="567"/>
        <w:jc w:val="center"/>
        <w:rPr>
          <w:b/>
          <w:bCs/>
        </w:rPr>
      </w:pPr>
      <w:r>
        <w:rPr>
          <w:b/>
          <w:bCs/>
        </w:rPr>
        <w:t>PAŽANGOS PRIEMONĖS ĮGYVENDINIMO TERITORIJA</w:t>
      </w:r>
    </w:p>
    <w:p w14:paraId="3C13A0D1" w14:textId="77777777" w:rsidR="002F41E5" w:rsidRDefault="002F41E5">
      <w:pPr>
        <w:spacing w:line="276" w:lineRule="auto"/>
        <w:ind w:firstLine="567"/>
        <w:jc w:val="both"/>
        <w:rPr>
          <w:iCs/>
          <w:color w:val="FF0000"/>
        </w:rPr>
      </w:pPr>
    </w:p>
    <w:p w14:paraId="580D4AA4" w14:textId="77777777" w:rsidR="002F41E5" w:rsidRDefault="00124FBE">
      <w:pPr>
        <w:spacing w:line="276" w:lineRule="auto"/>
        <w:ind w:firstLine="567"/>
        <w:jc w:val="both"/>
        <w:rPr>
          <w:iCs/>
        </w:rPr>
      </w:pPr>
      <w:r>
        <w:rPr>
          <w:iCs/>
        </w:rPr>
        <w:t xml:space="preserve">Pažangos priemonė įgyvendinama keturių Telšių regiono savivaldybių teritorijoje -  Mažeikių, Plungės, Telšių rajonų savivaldybėse ir Rietavo savivaldybėje.  </w:t>
      </w:r>
    </w:p>
    <w:p w14:paraId="10F551D1" w14:textId="77777777" w:rsidR="002F41E5" w:rsidRDefault="002F41E5">
      <w:pPr>
        <w:ind w:firstLine="567"/>
        <w:jc w:val="center"/>
        <w:rPr>
          <w:b/>
          <w:bCs/>
        </w:rPr>
      </w:pPr>
    </w:p>
    <w:p w14:paraId="2E508968" w14:textId="77777777" w:rsidR="002F41E5" w:rsidRDefault="00124FBE">
      <w:pPr>
        <w:ind w:firstLine="567"/>
        <w:jc w:val="center"/>
        <w:rPr>
          <w:b/>
          <w:bCs/>
        </w:rPr>
      </w:pPr>
      <w:r>
        <w:rPr>
          <w:b/>
          <w:bCs/>
        </w:rPr>
        <w:t>IV SKYRIUS</w:t>
      </w:r>
    </w:p>
    <w:p w14:paraId="62B42363" w14:textId="77777777" w:rsidR="002F41E5" w:rsidRDefault="00124FBE">
      <w:pPr>
        <w:ind w:firstLine="567"/>
        <w:jc w:val="center"/>
        <w:rPr>
          <w:b/>
          <w:bCs/>
        </w:rPr>
      </w:pPr>
      <w:r>
        <w:rPr>
          <w:b/>
          <w:bCs/>
        </w:rPr>
        <w:t>PAŽANGOS PRIEMONĖS VEIKLOS, PROJ</w:t>
      </w:r>
      <w:r>
        <w:rPr>
          <w:b/>
          <w:bCs/>
        </w:rPr>
        <w:t>EKTŲ VYKDYTOJAI IR PARTNERIAI</w:t>
      </w:r>
    </w:p>
    <w:p w14:paraId="33BE672E" w14:textId="77777777" w:rsidR="002F41E5" w:rsidRDefault="002F41E5">
      <w:pPr>
        <w:tabs>
          <w:tab w:val="left" w:pos="0"/>
          <w:tab w:val="left" w:pos="851"/>
        </w:tabs>
        <w:ind w:right="-23" w:firstLine="851"/>
        <w:rPr>
          <w:rFonts w:eastAsia="Calibri"/>
          <w:iCs/>
          <w:szCs w:val="24"/>
        </w:rPr>
      </w:pPr>
    </w:p>
    <w:p w14:paraId="2A891DDD" w14:textId="77777777" w:rsidR="002F41E5" w:rsidRDefault="00124FBE">
      <w:pPr>
        <w:tabs>
          <w:tab w:val="left" w:pos="0"/>
          <w:tab w:val="left" w:pos="851"/>
        </w:tabs>
        <w:ind w:right="-23" w:firstLine="851"/>
        <w:jc w:val="both"/>
        <w:rPr>
          <w:szCs w:val="24"/>
        </w:rPr>
      </w:pPr>
      <w:r>
        <w:rPr>
          <w:rFonts w:eastAsia="Calibri"/>
          <w:iCs/>
          <w:szCs w:val="24"/>
        </w:rPr>
        <w:t>Pažangos priemonės veikla – K</w:t>
      </w:r>
      <w:r>
        <w:rPr>
          <w:bCs/>
          <w:iCs/>
          <w:szCs w:val="24"/>
        </w:rPr>
        <w:t>okybiškų visuomenės sveikatos paslaugų prieinamumo gerinimas Telšių  regione</w:t>
      </w:r>
      <w:r>
        <w:rPr>
          <w:szCs w:val="24"/>
        </w:rPr>
        <w:t>.</w:t>
      </w:r>
    </w:p>
    <w:p w14:paraId="694B6C11" w14:textId="77777777" w:rsidR="002F41E5" w:rsidRDefault="00124FBE">
      <w:pPr>
        <w:tabs>
          <w:tab w:val="left" w:pos="0"/>
          <w:tab w:val="left" w:pos="851"/>
        </w:tabs>
        <w:ind w:right="-23" w:firstLine="851"/>
        <w:jc w:val="both"/>
        <w:rPr>
          <w:rFonts w:eastAsia="Calibri"/>
          <w:szCs w:val="24"/>
        </w:rPr>
      </w:pPr>
      <w:r>
        <w:rPr>
          <w:rFonts w:eastAsia="Calibri"/>
          <w:iCs/>
        </w:rPr>
        <w:t xml:space="preserve">Įgyvendinant pažangos priemonės veiklą, bus sprendžiama  Telšių regiono plėtros 2022 – 2030 m. plane numatyta problema – </w:t>
      </w:r>
      <w:r>
        <w:rPr>
          <w:iCs/>
          <w:szCs w:val="24"/>
        </w:rPr>
        <w:t>„</w:t>
      </w:r>
      <w:r>
        <w:rPr>
          <w:szCs w:val="24"/>
        </w:rPr>
        <w:t xml:space="preserve">Nepakankamas socialinių ir sveikatos priežiūros paslaugų </w:t>
      </w:r>
      <w:r>
        <w:rPr>
          <w:szCs w:val="24"/>
        </w:rPr>
        <w:lastRenderedPageBreak/>
        <w:t xml:space="preserve">prieinamumas ir kokybė“, kurios </w:t>
      </w:r>
      <w:r>
        <w:rPr>
          <w:iCs/>
          <w:szCs w:val="24"/>
        </w:rPr>
        <w:t xml:space="preserve"> viena iš giluminių  priežasčių yra </w:t>
      </w:r>
      <w:r>
        <w:rPr>
          <w:rFonts w:eastAsia="Calibri"/>
          <w:szCs w:val="24"/>
        </w:rPr>
        <w:t>sveikatos prevencinių priemonių trūkumas.</w:t>
      </w:r>
    </w:p>
    <w:p w14:paraId="0D7DBEA4" w14:textId="77777777" w:rsidR="002F41E5" w:rsidRDefault="00124FBE">
      <w:pPr>
        <w:tabs>
          <w:tab w:val="left" w:pos="851"/>
        </w:tabs>
        <w:ind w:right="-23" w:firstLine="851"/>
        <w:jc w:val="both"/>
        <w:rPr>
          <w:rFonts w:eastAsia="Calibri"/>
          <w:iCs/>
        </w:rPr>
      </w:pPr>
      <w:r>
        <w:rPr>
          <w:rFonts w:eastAsia="Calibri"/>
          <w:b/>
          <w:iCs/>
        </w:rPr>
        <w:t>Galimi pareiškėjai.</w:t>
      </w:r>
      <w:r>
        <w:rPr>
          <w:rFonts w:eastAsia="Calibri"/>
          <w:iCs/>
        </w:rPr>
        <w:t xml:space="preserve">  </w:t>
      </w:r>
      <w:r>
        <w:rPr>
          <w:rFonts w:ascii="TimesNewRomanPSMT" w:hAnsi="TimesNewRomanPSMT" w:cs="TimesNewRomanPSMT"/>
          <w:szCs w:val="24"/>
        </w:rPr>
        <w:t>Vadovaujantis Visuomenės sveikatos priežiūros įstatymo (toliau – VSP</w:t>
      </w:r>
      <w:r>
        <w:rPr>
          <w:rFonts w:ascii="TimesNewRomanPSMT" w:hAnsi="TimesNewRomanPSMT" w:cs="TimesNewRomanPSMT"/>
          <w:szCs w:val="24"/>
        </w:rPr>
        <w:t>Į) 6 straipsnio 2 dalimi, savivaldybėse visuomenės sveikatos priežiūrą (įskaitant visuomenės sveikatos stiprinimą) įgaliotos vykdyti savivaldybių įsteigtos visuomenės sveikatos priežiūros biudžetinės įstaigos – savivaldybių visuomenės sveikatos biurai, tur</w:t>
      </w:r>
      <w:r>
        <w:rPr>
          <w:rFonts w:ascii="TimesNewRomanPSMT" w:hAnsi="TimesNewRomanPSMT" w:cs="TimesNewRomanPSMT"/>
          <w:szCs w:val="24"/>
        </w:rPr>
        <w:t>intys kvalifikuotus specialistus ir ekspertinę šio darbo patirtį. Kitų galimų paslaugų tiekėjų, kurie galėtų vykdyti kokybiškas visuomenės sveikatos priežiūros paslaugų prieinamumo veiklas, pagrįstas mokslo įrodymais, pripažinta gerąja praktika ar tarptaut</w:t>
      </w:r>
      <w:r>
        <w:rPr>
          <w:rFonts w:ascii="TimesNewRomanPSMT" w:hAnsi="TimesNewRomanPSMT" w:cs="TimesNewRomanPSMT"/>
          <w:szCs w:val="24"/>
        </w:rPr>
        <w:t xml:space="preserve">iniais standartais pagal Sveikatos apsaugos ministerijos pateiktas rekomendacijas, savivaldybėse nėra. Todėl projektų atranka vykdoma planavimo būdu, projektų vykdytojai – visuomenės sveikatos biurai.  </w:t>
      </w:r>
    </w:p>
    <w:p w14:paraId="2C0753B9" w14:textId="77777777" w:rsidR="002F41E5" w:rsidRDefault="00124FBE">
      <w:pPr>
        <w:ind w:right="-23" w:firstLine="851"/>
        <w:jc w:val="both"/>
        <w:rPr>
          <w:rFonts w:eastAsia="Calibri"/>
          <w:iCs/>
        </w:rPr>
      </w:pPr>
      <w:r>
        <w:rPr>
          <w:rFonts w:eastAsia="Calibri"/>
          <w:b/>
          <w:iCs/>
        </w:rPr>
        <w:t>Galimi partneriai</w:t>
      </w:r>
      <w:r>
        <w:rPr>
          <w:rFonts w:eastAsia="Calibri"/>
          <w:iCs/>
        </w:rPr>
        <w:t xml:space="preserve"> – savivaldybių administracijos, kur</w:t>
      </w:r>
      <w:r>
        <w:rPr>
          <w:rFonts w:eastAsia="Calibri"/>
          <w:iCs/>
        </w:rPr>
        <w:t xml:space="preserve">ios prisidės prie projekto finansavimo,  </w:t>
      </w:r>
      <w:r>
        <w:rPr>
          <w:rFonts w:ascii="TimesNewRomanPSMT" w:hAnsi="TimesNewRomanPSMT" w:cs="TimesNewRomanPSMT"/>
          <w:szCs w:val="24"/>
        </w:rPr>
        <w:t xml:space="preserve">ir/ar nevyriausybinės organizacijos, nuolat dirbančios su tiksline grupe. Partneriai atliktų organizacinį/koordinacinį vaidmenį įgyvendinant projektą.  </w:t>
      </w:r>
    </w:p>
    <w:p w14:paraId="3023B840" w14:textId="77777777" w:rsidR="002F41E5" w:rsidRDefault="002F41E5">
      <w:pPr>
        <w:ind w:right="-23" w:firstLine="567"/>
        <w:jc w:val="both"/>
        <w:rPr>
          <w:rFonts w:eastAsia="Calibri"/>
          <w:i/>
          <w:color w:val="808080"/>
        </w:rPr>
      </w:pPr>
    </w:p>
    <w:p w14:paraId="65603322" w14:textId="77777777" w:rsidR="002F41E5" w:rsidRDefault="002F41E5">
      <w:pPr>
        <w:ind w:right="-23" w:firstLine="567"/>
        <w:jc w:val="both"/>
        <w:rPr>
          <w:rFonts w:eastAsia="Calibri"/>
          <w:i/>
          <w:color w:val="808080"/>
        </w:rPr>
      </w:pPr>
    </w:p>
    <w:p w14:paraId="36968EEC" w14:textId="77777777" w:rsidR="002F41E5" w:rsidRDefault="002F41E5">
      <w:pPr>
        <w:ind w:right="-23" w:firstLine="567"/>
        <w:jc w:val="both"/>
        <w:rPr>
          <w:rFonts w:eastAsia="Calibri"/>
          <w:i/>
          <w:color w:val="808080"/>
        </w:rPr>
      </w:pPr>
    </w:p>
    <w:p w14:paraId="48F5B8F8" w14:textId="77777777" w:rsidR="002F41E5" w:rsidRDefault="00124FBE">
      <w:pPr>
        <w:ind w:right="-23" w:firstLine="567"/>
        <w:jc w:val="center"/>
        <w:rPr>
          <w:b/>
          <w:bCs/>
        </w:rPr>
      </w:pPr>
      <w:r>
        <w:rPr>
          <w:b/>
          <w:bCs/>
        </w:rPr>
        <w:t>V SKYRIUS</w:t>
      </w:r>
    </w:p>
    <w:p w14:paraId="15C5D5A4" w14:textId="77777777" w:rsidR="002F41E5" w:rsidRDefault="00124FBE">
      <w:pPr>
        <w:ind w:firstLine="567"/>
        <w:jc w:val="center"/>
        <w:rPr>
          <w:b/>
          <w:bCs/>
        </w:rPr>
      </w:pPr>
      <w:r>
        <w:rPr>
          <w:b/>
          <w:bCs/>
        </w:rPr>
        <w:t>PAŽANGOS PRIEMONĖS PROJEKTŲ ATRANKA</w:t>
      </w:r>
    </w:p>
    <w:p w14:paraId="61A1BC5C" w14:textId="77777777" w:rsidR="002F41E5" w:rsidRDefault="002F41E5">
      <w:pPr>
        <w:ind w:firstLine="567"/>
        <w:jc w:val="both"/>
      </w:pPr>
    </w:p>
    <w:p w14:paraId="14C3EFB7" w14:textId="77777777" w:rsidR="002F41E5" w:rsidRDefault="00124FBE">
      <w:pPr>
        <w:ind w:firstLine="851"/>
        <w:jc w:val="both"/>
        <w:rPr>
          <w:b/>
          <w:i/>
          <w:szCs w:val="24"/>
          <w:lang w:eastAsia="lt-LT"/>
        </w:rPr>
      </w:pPr>
      <w:r>
        <w:rPr>
          <w:iCs/>
          <w:szCs w:val="24"/>
        </w:rPr>
        <w:t>Projektų atr</w:t>
      </w:r>
      <w:r>
        <w:rPr>
          <w:iCs/>
          <w:szCs w:val="24"/>
        </w:rPr>
        <w:t>anka bus organizuojama planavimo būdu, kuris taikomas projektams, kuriais įgyvendinamos Lietuvos Respublikos teisės aktuose nustatytos funkcijos ir veiklos, kurie priskirtini valstybės ar savivaldybių institucijoms ar įstaigoms ar jų kontroliuojamiems juri</w:t>
      </w:r>
      <w:r>
        <w:rPr>
          <w:iCs/>
          <w:szCs w:val="24"/>
        </w:rPr>
        <w:t>diniams asmenims ir kuriais tiesiogiai prisidedama prie pažangos priemonės įgyvendinimo ir joje numatytų rezultatų pasiekimo, vadovaujantis Strateginio valdymo metodikos 135.2 punkto nuostatomis. Siekiama, kad viešosios paslaugos būtų tolygiai pasiskirsčiu</w:t>
      </w:r>
      <w:r>
        <w:rPr>
          <w:iCs/>
          <w:szCs w:val="24"/>
        </w:rPr>
        <w:t>sios Telšių regione.</w:t>
      </w:r>
      <w:r>
        <w:rPr>
          <w:b/>
          <w:i/>
          <w:szCs w:val="24"/>
          <w:lang w:eastAsia="lt-LT"/>
        </w:rPr>
        <w:t xml:space="preserve"> </w:t>
      </w:r>
    </w:p>
    <w:p w14:paraId="3BCFEE3C" w14:textId="77777777" w:rsidR="002F41E5" w:rsidRDefault="00124FBE">
      <w:pPr>
        <w:ind w:firstLine="851"/>
        <w:jc w:val="both"/>
        <w:rPr>
          <w:szCs w:val="24"/>
          <w:lang w:eastAsia="lt-LT"/>
        </w:rPr>
      </w:pPr>
      <w:r>
        <w:rPr>
          <w:szCs w:val="24"/>
          <w:lang w:eastAsia="lt-LT"/>
        </w:rPr>
        <w:t xml:space="preserve">Projekto įgyvendinimo sprendinys yra vienas, nes yra apribojimų, dėl kurių kiti sprendiniai negali būti įgyvendinami:  </w:t>
      </w:r>
    </w:p>
    <w:p w14:paraId="32F35AD3" w14:textId="77777777" w:rsidR="002F41E5" w:rsidRDefault="00124FBE">
      <w:pPr>
        <w:keepNext/>
        <w:jc w:val="both"/>
        <w:rPr>
          <w:lang w:eastAsia="lt-LT"/>
        </w:rPr>
      </w:pPr>
      <w:r>
        <w:rPr>
          <w:szCs w:val="24"/>
          <w:lang w:eastAsia="lt-LT"/>
        </w:rPr>
        <w:t xml:space="preserve">Projekto veiklos,  </w:t>
      </w:r>
      <w:r>
        <w:rPr>
          <w:lang w:eastAsia="lt-LT"/>
        </w:rPr>
        <w:t>skirtos kokybiškų visuomenės sveikatos priežiūros paslaugų prieinamumui didinti yra pagrįstos m</w:t>
      </w:r>
      <w:r>
        <w:rPr>
          <w:lang w:eastAsia="lt-LT"/>
        </w:rPr>
        <w:t>okslo įrodymais, pripažintos gerąja praktika ar tarptautiniais standartais pagal Sveikatos apsaugos ministerijos pateiktas rekomendacijas (metodiką).</w:t>
      </w:r>
    </w:p>
    <w:p w14:paraId="3CF02120" w14:textId="77777777" w:rsidR="002F41E5" w:rsidRDefault="002F41E5">
      <w:pPr>
        <w:spacing w:line="276" w:lineRule="auto"/>
        <w:jc w:val="both"/>
        <w:rPr>
          <w:iCs/>
          <w:szCs w:val="24"/>
        </w:rPr>
      </w:pPr>
    </w:p>
    <w:p w14:paraId="6333A59C" w14:textId="77777777" w:rsidR="002F41E5" w:rsidRDefault="00124FBE">
      <w:pPr>
        <w:jc w:val="center"/>
        <w:rPr>
          <w:b/>
          <w:bCs/>
        </w:rPr>
      </w:pPr>
      <w:r>
        <w:rPr>
          <w:b/>
          <w:bCs/>
        </w:rPr>
        <w:t>VI SKYRIUS</w:t>
      </w:r>
    </w:p>
    <w:p w14:paraId="4F653B78" w14:textId="77777777" w:rsidR="002F41E5" w:rsidRDefault="00124FBE">
      <w:pPr>
        <w:jc w:val="center"/>
        <w:rPr>
          <w:b/>
          <w:bCs/>
        </w:rPr>
      </w:pPr>
      <w:r>
        <w:rPr>
          <w:b/>
          <w:bCs/>
        </w:rPr>
        <w:t>PAŽANGOS PRIEMONĖS PRISIDĖJIMAS PRIE HORIZONTALIŲJŲ PRINCIPŲ ĮGYVENDINIMO</w:t>
      </w:r>
    </w:p>
    <w:p w14:paraId="79A756B6" w14:textId="77777777" w:rsidR="002F41E5" w:rsidRDefault="002F41E5">
      <w:pPr>
        <w:ind w:firstLine="567"/>
        <w:jc w:val="both"/>
      </w:pPr>
    </w:p>
    <w:p w14:paraId="23B68871" w14:textId="77777777" w:rsidR="002F41E5" w:rsidRDefault="00124FBE">
      <w:pPr>
        <w:ind w:right="119" w:firstLine="567"/>
        <w:jc w:val="right"/>
      </w:pPr>
      <w:r>
        <w:t>Lentelė Nr. 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6379"/>
      </w:tblGrid>
      <w:tr w:rsidR="002F41E5" w14:paraId="5376BB83" w14:textId="77777777">
        <w:trPr>
          <w:trHeight w:val="520"/>
        </w:trPr>
        <w:tc>
          <w:tcPr>
            <w:tcW w:w="704" w:type="dxa"/>
            <w:shd w:val="pct10" w:color="auto" w:fill="auto"/>
          </w:tcPr>
          <w:p w14:paraId="2C9D2880" w14:textId="77777777" w:rsidR="002F41E5" w:rsidRDefault="00124FBE">
            <w:pPr>
              <w:jc w:val="center"/>
              <w:rPr>
                <w:b/>
              </w:rPr>
            </w:pPr>
            <w:r>
              <w:rPr>
                <w:b/>
              </w:rPr>
              <w:t>Eil. Nr.</w:t>
            </w:r>
          </w:p>
        </w:tc>
        <w:tc>
          <w:tcPr>
            <w:tcW w:w="2693" w:type="dxa"/>
            <w:shd w:val="pct10" w:color="auto" w:fill="auto"/>
          </w:tcPr>
          <w:p w14:paraId="24277AFD" w14:textId="77777777" w:rsidR="002F41E5" w:rsidRDefault="00124FBE">
            <w:pPr>
              <w:jc w:val="center"/>
              <w:rPr>
                <w:b/>
              </w:rPr>
            </w:pPr>
            <w:r>
              <w:rPr>
                <w:b/>
              </w:rPr>
              <w:t>Horizontalieji principai (toliau – HP)</w:t>
            </w:r>
          </w:p>
        </w:tc>
        <w:tc>
          <w:tcPr>
            <w:tcW w:w="6379" w:type="dxa"/>
            <w:shd w:val="pct10" w:color="auto" w:fill="auto"/>
          </w:tcPr>
          <w:p w14:paraId="19A5F023" w14:textId="77777777" w:rsidR="002F41E5" w:rsidRDefault="00124FBE">
            <w:pPr>
              <w:jc w:val="center"/>
              <w:rPr>
                <w:b/>
              </w:rPr>
            </w:pPr>
            <w:r>
              <w:rPr>
                <w:b/>
              </w:rPr>
              <w:t>Informacija apie pažangos priemonės prisidėjimą prie HP</w:t>
            </w:r>
          </w:p>
          <w:p w14:paraId="0DFA3959" w14:textId="77777777" w:rsidR="002F41E5" w:rsidRDefault="002F41E5">
            <w:pPr>
              <w:ind w:firstLine="567"/>
              <w:jc w:val="center"/>
              <w:rPr>
                <w:b/>
              </w:rPr>
            </w:pPr>
          </w:p>
        </w:tc>
      </w:tr>
      <w:tr w:rsidR="002F41E5" w14:paraId="24891EC3" w14:textId="77777777">
        <w:tc>
          <w:tcPr>
            <w:tcW w:w="704" w:type="dxa"/>
          </w:tcPr>
          <w:p w14:paraId="0D046291" w14:textId="77777777" w:rsidR="002F41E5" w:rsidRDefault="00124FBE">
            <w:pPr>
              <w:jc w:val="both"/>
            </w:pPr>
            <w:r>
              <w:t>1.</w:t>
            </w:r>
          </w:p>
        </w:tc>
        <w:tc>
          <w:tcPr>
            <w:tcW w:w="2693" w:type="dxa"/>
          </w:tcPr>
          <w:p w14:paraId="7C45FD35" w14:textId="77777777" w:rsidR="002F41E5" w:rsidRDefault="00124FBE">
            <w:pPr>
              <w:jc w:val="both"/>
              <w:rPr>
                <w:szCs w:val="24"/>
              </w:rPr>
            </w:pPr>
            <w:r>
              <w:rPr>
                <w:szCs w:val="24"/>
              </w:rPr>
              <w:t>Darnaus vystymosi</w:t>
            </w:r>
          </w:p>
        </w:tc>
        <w:tc>
          <w:tcPr>
            <w:tcW w:w="6379" w:type="dxa"/>
          </w:tcPr>
          <w:p w14:paraId="240FE4B9" w14:textId="77777777" w:rsidR="002F41E5" w:rsidRDefault="00124FBE">
            <w:pPr>
              <w:suppressAutoHyphens/>
              <w:jc w:val="both"/>
              <w:textAlignment w:val="baseline"/>
              <w:rPr>
                <w:i/>
                <w:szCs w:val="24"/>
              </w:rPr>
            </w:pPr>
            <w:r>
              <w:rPr>
                <w:szCs w:val="24"/>
              </w:rPr>
              <w:t xml:space="preserve">Pažangos priemonės įgyvendinimas tiesiogiai prisidės prie Darnaus vystymosi HP  įgyvendinimo, nes ji orientuota į visuomenės gerovės augimą, kuri yra sudėtinė Darnaus vystymosi dalis. Įgyvendinant pažangos priemonę, bus </w:t>
            </w:r>
            <w:r>
              <w:t xml:space="preserve">stiprinama </w:t>
            </w:r>
            <w:r>
              <w:rPr>
                <w:szCs w:val="24"/>
              </w:rPr>
              <w:t xml:space="preserve"> v</w:t>
            </w:r>
            <w:r>
              <w:t>isuomenės sveikata, did</w:t>
            </w:r>
            <w:r>
              <w:t>inimas sveikatos paslaugų prieinamumas, tuo prisidedama prie darnaus vystymosi principo įgyvendinimo.</w:t>
            </w:r>
          </w:p>
          <w:p w14:paraId="10C65A76" w14:textId="77777777" w:rsidR="002F41E5" w:rsidRDefault="002F41E5">
            <w:pPr>
              <w:suppressAutoHyphens/>
              <w:jc w:val="both"/>
              <w:textAlignment w:val="baseline"/>
              <w:rPr>
                <w:i/>
                <w:szCs w:val="24"/>
              </w:rPr>
            </w:pPr>
          </w:p>
        </w:tc>
      </w:tr>
      <w:tr w:rsidR="002F41E5" w14:paraId="2BC242E9" w14:textId="77777777">
        <w:tc>
          <w:tcPr>
            <w:tcW w:w="704" w:type="dxa"/>
          </w:tcPr>
          <w:p w14:paraId="3B6DD3AA" w14:textId="77777777" w:rsidR="002F41E5" w:rsidRDefault="00124FBE">
            <w:pPr>
              <w:jc w:val="both"/>
            </w:pPr>
            <w:r>
              <w:t>2.</w:t>
            </w:r>
          </w:p>
        </w:tc>
        <w:tc>
          <w:tcPr>
            <w:tcW w:w="2693" w:type="dxa"/>
          </w:tcPr>
          <w:p w14:paraId="7F5DFCC4" w14:textId="77777777" w:rsidR="002F41E5" w:rsidRDefault="00124FBE">
            <w:pPr>
              <w:jc w:val="both"/>
              <w:rPr>
                <w:szCs w:val="24"/>
              </w:rPr>
            </w:pPr>
            <w:r>
              <w:rPr>
                <w:szCs w:val="24"/>
              </w:rPr>
              <w:t>Inovatyvumo (kūrybingumo)</w:t>
            </w:r>
          </w:p>
        </w:tc>
        <w:tc>
          <w:tcPr>
            <w:tcW w:w="6379" w:type="dxa"/>
          </w:tcPr>
          <w:p w14:paraId="53B6ED81" w14:textId="77777777" w:rsidR="002F41E5" w:rsidRDefault="00124FBE">
            <w:pPr>
              <w:spacing w:line="276" w:lineRule="auto"/>
              <w:jc w:val="both"/>
              <w:rPr>
                <w:i/>
                <w:szCs w:val="24"/>
              </w:rPr>
            </w:pPr>
            <w:r>
              <w:rPr>
                <w:szCs w:val="24"/>
              </w:rPr>
              <w:t>Priemonės veiksmais / projektais tiesiogiai prisidėti prie inovatyvumo (kūrybingumo) horizontaliojo principo įgyvendinimo n</w:t>
            </w:r>
            <w:r>
              <w:rPr>
                <w:szCs w:val="24"/>
              </w:rPr>
              <w:t>enumatyta.</w:t>
            </w:r>
          </w:p>
        </w:tc>
      </w:tr>
      <w:tr w:rsidR="002F41E5" w14:paraId="0D146D0A" w14:textId="77777777">
        <w:tc>
          <w:tcPr>
            <w:tcW w:w="704" w:type="dxa"/>
          </w:tcPr>
          <w:p w14:paraId="568D9E57" w14:textId="77777777" w:rsidR="002F41E5" w:rsidRDefault="00124FBE">
            <w:pPr>
              <w:jc w:val="both"/>
            </w:pPr>
            <w:r>
              <w:t>3.</w:t>
            </w:r>
          </w:p>
        </w:tc>
        <w:tc>
          <w:tcPr>
            <w:tcW w:w="2693" w:type="dxa"/>
          </w:tcPr>
          <w:p w14:paraId="12004434" w14:textId="77777777" w:rsidR="002F41E5" w:rsidRDefault="00124FBE">
            <w:pPr>
              <w:jc w:val="both"/>
              <w:rPr>
                <w:szCs w:val="24"/>
              </w:rPr>
            </w:pPr>
            <w:r>
              <w:rPr>
                <w:szCs w:val="24"/>
              </w:rPr>
              <w:t xml:space="preserve">Lygių galimybių visiems </w:t>
            </w:r>
          </w:p>
        </w:tc>
        <w:tc>
          <w:tcPr>
            <w:tcW w:w="6379" w:type="dxa"/>
          </w:tcPr>
          <w:p w14:paraId="2F453524" w14:textId="77777777" w:rsidR="002F41E5" w:rsidRDefault="00124FBE">
            <w:pPr>
              <w:suppressAutoHyphens/>
              <w:jc w:val="both"/>
              <w:textAlignment w:val="baseline"/>
              <w:rPr>
                <w:i/>
                <w:szCs w:val="24"/>
              </w:rPr>
            </w:pPr>
            <w:r>
              <w:rPr>
                <w:szCs w:val="24"/>
              </w:rPr>
              <w:t xml:space="preserve">Pagal priemonę rengiamuose ir įgyvendinamuose projektuose bus numatomos veiklos, užtikrinančios </w:t>
            </w:r>
            <w:r>
              <w:rPr>
                <w:spacing w:val="2"/>
                <w:szCs w:val="24"/>
                <w:shd w:val="clear" w:color="auto" w:fill="FFFFFF"/>
              </w:rPr>
              <w:t>vienodas teises ir galimybes naudotis paslaugomis v</w:t>
            </w:r>
            <w:r>
              <w:rPr>
                <w:szCs w:val="24"/>
              </w:rPr>
              <w:t xml:space="preserve">isiems </w:t>
            </w:r>
            <w:r>
              <w:rPr>
                <w:spacing w:val="2"/>
                <w:szCs w:val="24"/>
                <w:shd w:val="clear" w:color="auto" w:fill="FFFFFF"/>
              </w:rPr>
              <w:t xml:space="preserve">asmenims, nepaisant </w:t>
            </w:r>
            <w:r>
              <w:rPr>
                <w:spacing w:val="2"/>
                <w:szCs w:val="24"/>
                <w:shd w:val="clear" w:color="auto" w:fill="FFFFFF"/>
              </w:rPr>
              <w:lastRenderedPageBreak/>
              <w:t>jų lyties, tautybės, rasinės ar etninės ki</w:t>
            </w:r>
            <w:r>
              <w:rPr>
                <w:spacing w:val="2"/>
                <w:szCs w:val="24"/>
                <w:shd w:val="clear" w:color="auto" w:fill="FFFFFF"/>
              </w:rPr>
              <w:t>lmės, pilietybės, kalbos, religijos, tikėjimo, įsitikinimų ar pažiūrų, negalios, sveikatos būklės, socialinės padėties, amžiaus, seksualinės orientacijos ar kitų bruožų. Bus  atsižvelgiama į neįgaliųjų, moterų ir vyrų, skirtingų amžiaus grupių, tautinių ma</w:t>
            </w:r>
            <w:r>
              <w:rPr>
                <w:spacing w:val="2"/>
                <w:szCs w:val="24"/>
                <w:shd w:val="clear" w:color="auto" w:fill="FFFFFF"/>
              </w:rPr>
              <w:t xml:space="preserve">žumų ir kitų galinčių patirti diskriminaciją grupių poreikius ir numatytos lygių galimybių principą įgyvendinančios priemonės.  </w:t>
            </w:r>
          </w:p>
        </w:tc>
      </w:tr>
    </w:tbl>
    <w:p w14:paraId="63A7CCA2" w14:textId="77777777" w:rsidR="002F41E5" w:rsidRDefault="002F41E5">
      <w:pPr>
        <w:jc w:val="center"/>
      </w:pPr>
    </w:p>
    <w:p w14:paraId="37623EF0" w14:textId="77777777" w:rsidR="002F41E5" w:rsidRDefault="002F41E5">
      <w:pPr>
        <w:jc w:val="center"/>
        <w:rPr>
          <w:b/>
          <w:bCs/>
        </w:rPr>
      </w:pPr>
    </w:p>
    <w:p w14:paraId="4F156018" w14:textId="77777777" w:rsidR="002F41E5" w:rsidRDefault="00124FBE">
      <w:pPr>
        <w:jc w:val="center"/>
        <w:rPr>
          <w:b/>
          <w:bCs/>
        </w:rPr>
      </w:pPr>
      <w:r>
        <w:rPr>
          <w:b/>
          <w:bCs/>
        </w:rPr>
        <w:t>VII SKYRIUS</w:t>
      </w:r>
    </w:p>
    <w:p w14:paraId="02144992" w14:textId="77777777" w:rsidR="002F41E5" w:rsidRDefault="00124FBE">
      <w:pPr>
        <w:jc w:val="center"/>
        <w:rPr>
          <w:b/>
          <w:bCs/>
        </w:rPr>
      </w:pPr>
      <w:r>
        <w:rPr>
          <w:b/>
          <w:bCs/>
        </w:rPr>
        <w:t>IŠANKSTINĖS SĄLYGOS</w:t>
      </w:r>
    </w:p>
    <w:p w14:paraId="5F571923" w14:textId="77777777" w:rsidR="002F41E5" w:rsidRDefault="00124FBE">
      <w:pPr>
        <w:ind w:firstLine="851"/>
        <w:jc w:val="both"/>
        <w:rPr>
          <w:bCs/>
        </w:rPr>
      </w:pPr>
      <w:r>
        <w:rPr>
          <w:bCs/>
        </w:rPr>
        <w:t>Pažangos priemonės įgyvendinimu bus prisidedama prie RPP regioninės pažangos priemonės „Gerinti kokybiškų visuomenės sveikatos paslaugų prieinamumą regionuose“ poveikio rodiklio „Prevencinėmis priemonėmis išvengiamas mirtingumas 100000 gyv.“ pasiekimo, jai</w:t>
      </w:r>
      <w:r>
        <w:rPr>
          <w:bCs/>
        </w:rPr>
        <w:t xml:space="preserve">  priskirta   išankstinė sąlyga – patvirtintose regionų plėtros planų priemonėse turi būti tik tie projektai, kuriuose numatytos veiklos, skirtos kokybiškų visuomenės sveikatos priežiūros paslaugų prieinamumui didinti, yra pagrįstos mokslo įrodymais, pripa</w:t>
      </w:r>
      <w:r>
        <w:rPr>
          <w:bCs/>
        </w:rPr>
        <w:t>žinta gerąja praktika ar tarptautiniais standartais pagal Sveikatos apsaugos ministerijos pateiktas rekomendacijas (metodiką).</w:t>
      </w:r>
    </w:p>
    <w:p w14:paraId="2B6C4F47" w14:textId="77777777" w:rsidR="002F41E5" w:rsidRDefault="00124FBE">
      <w:pPr>
        <w:ind w:firstLine="851"/>
        <w:jc w:val="both"/>
        <w:rPr>
          <w:bCs/>
        </w:rPr>
      </w:pPr>
      <w:r>
        <w:rPr>
          <w:bCs/>
        </w:rPr>
        <w:t>Išankstinės sąlygos atitikimas turi būti aprašytas projekto įgyvendinimo plane:</w:t>
      </w:r>
    </w:p>
    <w:p w14:paraId="752A0F10" w14:textId="77777777" w:rsidR="002F41E5" w:rsidRDefault="00124FBE">
      <w:pPr>
        <w:ind w:firstLine="851"/>
        <w:jc w:val="both"/>
        <w:rPr>
          <w:bCs/>
        </w:rPr>
      </w:pPr>
      <w:r>
        <w:rPr>
          <w:bCs/>
        </w:rPr>
        <w:t>- kaip projektas atitinka pripažintas gerąsias pr</w:t>
      </w:r>
      <w:r>
        <w:rPr>
          <w:bCs/>
        </w:rPr>
        <w:t xml:space="preserve">aktikas ar tarptautinius standartus, taikomus </w:t>
      </w:r>
      <w:r>
        <w:rPr>
          <w:bCs/>
          <w:i/>
        </w:rPr>
        <w:t>paslaugos organizavimui</w:t>
      </w:r>
      <w:r>
        <w:rPr>
          <w:bCs/>
        </w:rPr>
        <w:t xml:space="preserve"> (nurodoma, kaip bus užtikrinamas veiklų organizavimas pagal Sveikatos apsaugos ministerijos tinklalapyje skelbiamas rekomendacijas (metodiką) (šių dokumentų skyrius, punktus ir pan.) (at</w:t>
      </w:r>
      <w:r>
        <w:rPr>
          <w:bCs/>
        </w:rPr>
        <w:t>itiktis vertinama pagal Europos psichoaktyviųjų medžiagų vartojimo prevencijos kokybės standartus );</w:t>
      </w:r>
    </w:p>
    <w:p w14:paraId="6990C276" w14:textId="77777777" w:rsidR="002F41E5" w:rsidRDefault="00124FBE">
      <w:pPr>
        <w:ind w:firstLine="851"/>
        <w:jc w:val="both"/>
        <w:rPr>
          <w:bCs/>
        </w:rPr>
      </w:pPr>
      <w:r>
        <w:rPr>
          <w:bCs/>
        </w:rPr>
        <w:t xml:space="preserve">- kaip projektas atitinka pripažintas gerąsias praktikas, tarptautinius standartus ar mokslo įrodymus, </w:t>
      </w:r>
      <w:r>
        <w:rPr>
          <w:bCs/>
          <w:i/>
        </w:rPr>
        <w:t>taikomus paslaugos turiniui</w:t>
      </w:r>
      <w:r>
        <w:rPr>
          <w:bCs/>
        </w:rPr>
        <w:t xml:space="preserve"> (nurodoma, kaip bus užti</w:t>
      </w:r>
      <w:r>
        <w:rPr>
          <w:bCs/>
        </w:rPr>
        <w:t>krinama veiklų turinio atitiktis Sveikatos apsaugos ministerijos tinklalapyje skelbiamoms rekomendacijoms (metodikai), atitiktis pripažintoms gerosioms praktikoms, tarptautiniams standartams, rekomendacijoms ar mokslo įrodymams).</w:t>
      </w:r>
    </w:p>
    <w:p w14:paraId="71810733" w14:textId="77777777" w:rsidR="002F41E5" w:rsidRDefault="00124FBE">
      <w:pPr>
        <w:ind w:firstLine="851"/>
        <w:rPr>
          <w:bCs/>
        </w:rPr>
      </w:pPr>
      <w:r>
        <w:rPr>
          <w:bCs/>
        </w:rPr>
        <w:br w:type="page"/>
      </w:r>
    </w:p>
    <w:p w14:paraId="7DFE23AA" w14:textId="77777777" w:rsidR="002F41E5" w:rsidRDefault="002F41E5">
      <w:pPr>
        <w:ind w:firstLine="567"/>
        <w:jc w:val="both"/>
        <w:rPr>
          <w:i/>
          <w:color w:val="808080"/>
          <w:szCs w:val="24"/>
        </w:rPr>
        <w:sectPr w:rsidR="002F41E5">
          <w:headerReference w:type="even" r:id="rId7"/>
          <w:headerReference w:type="default" r:id="rId8"/>
          <w:footerReference w:type="even" r:id="rId9"/>
          <w:footerReference w:type="default" r:id="rId10"/>
          <w:headerReference w:type="first" r:id="rId11"/>
          <w:footerReference w:type="first" r:id="rId12"/>
          <w:pgSz w:w="11906" w:h="16838"/>
          <w:pgMar w:top="1134" w:right="707" w:bottom="851" w:left="1701" w:header="567" w:footer="567" w:gutter="0"/>
          <w:pgNumType w:start="1"/>
          <w:cols w:space="1296"/>
          <w:titlePg/>
          <w:docGrid w:linePitch="360"/>
        </w:sectPr>
      </w:pPr>
    </w:p>
    <w:p w14:paraId="19AB1F94" w14:textId="77777777" w:rsidR="002F41E5" w:rsidRDefault="00124FBE">
      <w:pPr>
        <w:ind w:firstLine="567"/>
        <w:jc w:val="center"/>
        <w:rPr>
          <w:b/>
          <w:bCs/>
        </w:rPr>
      </w:pPr>
      <w:r>
        <w:rPr>
          <w:bCs/>
        </w:rPr>
        <w:lastRenderedPageBreak/>
        <w:t>VIII SKYRIUS</w:t>
      </w:r>
    </w:p>
    <w:p w14:paraId="54E73D1E" w14:textId="77777777" w:rsidR="002F41E5" w:rsidRDefault="00124FBE">
      <w:pPr>
        <w:ind w:firstLine="567"/>
        <w:jc w:val="center"/>
        <w:rPr>
          <w:b/>
          <w:bCs/>
        </w:rPr>
      </w:pPr>
      <w:r>
        <w:rPr>
          <w:b/>
          <w:bCs/>
        </w:rPr>
        <w:t>PAŽANGOS PRIEMONĖS STEBĖSENOS RODIKLIAI</w:t>
      </w:r>
    </w:p>
    <w:p w14:paraId="46208542" w14:textId="77777777" w:rsidR="002F41E5" w:rsidRDefault="00124FBE">
      <w:pPr>
        <w:ind w:right="403"/>
        <w:jc w:val="right"/>
      </w:pPr>
      <w:r>
        <w:t>Lentelė Nr. 2</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76"/>
        <w:gridCol w:w="1559"/>
        <w:gridCol w:w="1134"/>
        <w:gridCol w:w="1559"/>
        <w:gridCol w:w="851"/>
        <w:gridCol w:w="850"/>
        <w:gridCol w:w="4962"/>
      </w:tblGrid>
      <w:tr w:rsidR="002F41E5" w14:paraId="21136422" w14:textId="77777777">
        <w:tc>
          <w:tcPr>
            <w:tcW w:w="14596" w:type="dxa"/>
            <w:gridSpan w:val="8"/>
            <w:tcBorders>
              <w:bottom w:val="single" w:sz="4" w:space="0" w:color="auto"/>
            </w:tcBorders>
            <w:shd w:val="pct10" w:color="auto" w:fill="auto"/>
          </w:tcPr>
          <w:p w14:paraId="68A51B40" w14:textId="77777777" w:rsidR="002F41E5" w:rsidRDefault="00124FBE">
            <w:pPr>
              <w:ind w:firstLine="567"/>
              <w:jc w:val="center"/>
              <w:rPr>
                <w:b/>
                <w:i/>
                <w:sz w:val="20"/>
              </w:rPr>
            </w:pPr>
            <w:r>
              <w:rPr>
                <w:b/>
                <w:sz w:val="20"/>
              </w:rPr>
              <w:t>Pažangos priemonės veiklų produkto rodikliai</w:t>
            </w:r>
          </w:p>
        </w:tc>
      </w:tr>
      <w:tr w:rsidR="002F41E5" w14:paraId="54CD6F3F" w14:textId="77777777">
        <w:tc>
          <w:tcPr>
            <w:tcW w:w="2405" w:type="dxa"/>
            <w:vMerge w:val="restart"/>
            <w:shd w:val="pct10" w:color="auto" w:fill="auto"/>
            <w:vAlign w:val="center"/>
          </w:tcPr>
          <w:p w14:paraId="7FF525D1" w14:textId="77777777" w:rsidR="002F41E5" w:rsidRDefault="00124FBE">
            <w:pPr>
              <w:jc w:val="center"/>
              <w:rPr>
                <w:b/>
                <w:sz w:val="20"/>
              </w:rPr>
            </w:pPr>
            <w:r>
              <w:rPr>
                <w:b/>
                <w:sz w:val="20"/>
              </w:rPr>
              <w:t>Veiklos pavadinimas</w:t>
            </w:r>
          </w:p>
        </w:tc>
        <w:tc>
          <w:tcPr>
            <w:tcW w:w="1276" w:type="dxa"/>
            <w:vMerge w:val="restart"/>
            <w:shd w:val="pct10" w:color="auto" w:fill="auto"/>
            <w:vAlign w:val="center"/>
          </w:tcPr>
          <w:p w14:paraId="7AB8CF57" w14:textId="77777777" w:rsidR="002F41E5" w:rsidRDefault="00124FBE">
            <w:pPr>
              <w:jc w:val="center"/>
              <w:rPr>
                <w:b/>
                <w:sz w:val="20"/>
              </w:rPr>
            </w:pPr>
            <w:r>
              <w:rPr>
                <w:b/>
                <w:sz w:val="20"/>
              </w:rPr>
              <w:t>Rodiklio kodas</w:t>
            </w:r>
          </w:p>
        </w:tc>
        <w:tc>
          <w:tcPr>
            <w:tcW w:w="1559" w:type="dxa"/>
            <w:vMerge w:val="restart"/>
            <w:shd w:val="pct10" w:color="auto" w:fill="auto"/>
            <w:vAlign w:val="center"/>
          </w:tcPr>
          <w:p w14:paraId="1EF725BB" w14:textId="77777777" w:rsidR="002F41E5" w:rsidRDefault="00124FBE">
            <w:pPr>
              <w:jc w:val="center"/>
              <w:rPr>
                <w:b/>
                <w:sz w:val="20"/>
              </w:rPr>
            </w:pPr>
            <w:r>
              <w:rPr>
                <w:b/>
                <w:sz w:val="20"/>
              </w:rPr>
              <w:t>Rodiklio pavadinimas, matavimo vienetas</w:t>
            </w:r>
          </w:p>
        </w:tc>
        <w:tc>
          <w:tcPr>
            <w:tcW w:w="2693" w:type="dxa"/>
            <w:gridSpan w:val="2"/>
            <w:shd w:val="pct10" w:color="auto" w:fill="auto"/>
            <w:vAlign w:val="center"/>
          </w:tcPr>
          <w:p w14:paraId="0A6F4AC8" w14:textId="77777777" w:rsidR="002F41E5" w:rsidRDefault="00124FBE">
            <w:pPr>
              <w:jc w:val="center"/>
              <w:rPr>
                <w:b/>
                <w:i/>
                <w:sz w:val="20"/>
              </w:rPr>
            </w:pPr>
            <w:r>
              <w:rPr>
                <w:b/>
                <w:sz w:val="20"/>
              </w:rPr>
              <w:t>Rodikliui pasiekti planuojama panaudoti pažangos lėšų suma, Eur</w:t>
            </w:r>
          </w:p>
        </w:tc>
        <w:tc>
          <w:tcPr>
            <w:tcW w:w="1701" w:type="dxa"/>
            <w:gridSpan w:val="2"/>
            <w:shd w:val="pct10" w:color="auto" w:fill="auto"/>
            <w:vAlign w:val="center"/>
          </w:tcPr>
          <w:p w14:paraId="6A9497F2" w14:textId="77777777" w:rsidR="002F41E5" w:rsidRDefault="00124FBE">
            <w:pPr>
              <w:jc w:val="center"/>
              <w:rPr>
                <w:b/>
                <w:i/>
                <w:sz w:val="20"/>
              </w:rPr>
            </w:pPr>
            <w:r>
              <w:rPr>
                <w:b/>
                <w:sz w:val="20"/>
              </w:rPr>
              <w:t>Siektinos rodiklio reikšmės</w:t>
            </w:r>
          </w:p>
        </w:tc>
        <w:tc>
          <w:tcPr>
            <w:tcW w:w="4962" w:type="dxa"/>
            <w:vMerge w:val="restart"/>
            <w:shd w:val="pct10" w:color="auto" w:fill="auto"/>
            <w:vAlign w:val="center"/>
          </w:tcPr>
          <w:p w14:paraId="61960F14" w14:textId="77777777" w:rsidR="002F41E5" w:rsidRDefault="00124FBE">
            <w:pPr>
              <w:jc w:val="center"/>
              <w:rPr>
                <w:b/>
                <w:i/>
                <w:sz w:val="20"/>
              </w:rPr>
            </w:pPr>
            <w:r>
              <w:rPr>
                <w:b/>
                <w:sz w:val="20"/>
              </w:rPr>
              <w:t>Siektinos rodiklio reikšmės nustatymo pagrindimas</w:t>
            </w:r>
          </w:p>
        </w:tc>
      </w:tr>
      <w:tr w:rsidR="002F41E5" w14:paraId="522F32CA" w14:textId="77777777">
        <w:tc>
          <w:tcPr>
            <w:tcW w:w="2405" w:type="dxa"/>
            <w:vMerge/>
            <w:tcBorders>
              <w:bottom w:val="single" w:sz="4" w:space="0" w:color="auto"/>
            </w:tcBorders>
            <w:shd w:val="pct10" w:color="auto" w:fill="auto"/>
          </w:tcPr>
          <w:p w14:paraId="68319CD3" w14:textId="77777777" w:rsidR="002F41E5" w:rsidRDefault="002F41E5">
            <w:pPr>
              <w:ind w:firstLine="567"/>
              <w:jc w:val="both"/>
              <w:rPr>
                <w:b/>
                <w:i/>
              </w:rPr>
            </w:pPr>
          </w:p>
        </w:tc>
        <w:tc>
          <w:tcPr>
            <w:tcW w:w="1276" w:type="dxa"/>
            <w:vMerge/>
            <w:tcBorders>
              <w:bottom w:val="single" w:sz="4" w:space="0" w:color="auto"/>
            </w:tcBorders>
            <w:shd w:val="pct10" w:color="auto" w:fill="auto"/>
          </w:tcPr>
          <w:p w14:paraId="525A3BCB" w14:textId="77777777" w:rsidR="002F41E5" w:rsidRDefault="002F41E5">
            <w:pPr>
              <w:ind w:firstLine="567"/>
              <w:jc w:val="both"/>
              <w:rPr>
                <w:b/>
                <w:i/>
              </w:rPr>
            </w:pPr>
          </w:p>
        </w:tc>
        <w:tc>
          <w:tcPr>
            <w:tcW w:w="1559" w:type="dxa"/>
            <w:vMerge/>
            <w:tcBorders>
              <w:bottom w:val="single" w:sz="4" w:space="0" w:color="auto"/>
            </w:tcBorders>
            <w:shd w:val="pct10" w:color="auto" w:fill="auto"/>
          </w:tcPr>
          <w:p w14:paraId="6AB4BF39" w14:textId="77777777" w:rsidR="002F41E5" w:rsidRDefault="002F41E5">
            <w:pPr>
              <w:ind w:firstLine="567"/>
              <w:jc w:val="both"/>
              <w:rPr>
                <w:b/>
                <w:i/>
              </w:rPr>
            </w:pPr>
          </w:p>
        </w:tc>
        <w:tc>
          <w:tcPr>
            <w:tcW w:w="1134" w:type="dxa"/>
            <w:tcBorders>
              <w:bottom w:val="single" w:sz="4" w:space="0" w:color="auto"/>
            </w:tcBorders>
            <w:shd w:val="pct10" w:color="auto" w:fill="auto"/>
          </w:tcPr>
          <w:p w14:paraId="3318DDCD" w14:textId="77777777" w:rsidR="002F41E5" w:rsidRDefault="00124FBE">
            <w:pPr>
              <w:jc w:val="center"/>
              <w:rPr>
                <w:b/>
                <w:i/>
                <w:sz w:val="20"/>
              </w:rPr>
            </w:pPr>
            <w:r>
              <w:rPr>
                <w:b/>
                <w:sz w:val="20"/>
              </w:rPr>
              <w:t>Iš viso</w:t>
            </w:r>
          </w:p>
        </w:tc>
        <w:tc>
          <w:tcPr>
            <w:tcW w:w="1559" w:type="dxa"/>
            <w:tcBorders>
              <w:bottom w:val="single" w:sz="4" w:space="0" w:color="auto"/>
            </w:tcBorders>
            <w:shd w:val="pct10" w:color="auto" w:fill="auto"/>
          </w:tcPr>
          <w:p w14:paraId="5C01D11F" w14:textId="77777777" w:rsidR="002F41E5" w:rsidRDefault="00124FBE">
            <w:pPr>
              <w:jc w:val="center"/>
              <w:rPr>
                <w:b/>
                <w:i/>
                <w:sz w:val="20"/>
              </w:rPr>
            </w:pPr>
            <w:r>
              <w:rPr>
                <w:b/>
                <w:sz w:val="20"/>
              </w:rPr>
              <w:t>Iš jų ES, kitos tarptautinės finansinės paramos ir valstybės biudžeto lėšų suma</w:t>
            </w:r>
          </w:p>
        </w:tc>
        <w:tc>
          <w:tcPr>
            <w:tcW w:w="851" w:type="dxa"/>
            <w:tcBorders>
              <w:bottom w:val="single" w:sz="4" w:space="0" w:color="auto"/>
            </w:tcBorders>
            <w:shd w:val="pct10" w:color="auto" w:fill="auto"/>
          </w:tcPr>
          <w:p w14:paraId="4CC06F52" w14:textId="77777777" w:rsidR="002F41E5" w:rsidRDefault="00124FBE">
            <w:pPr>
              <w:jc w:val="center"/>
              <w:rPr>
                <w:b/>
                <w:i/>
                <w:sz w:val="20"/>
              </w:rPr>
            </w:pPr>
            <w:r>
              <w:rPr>
                <w:b/>
                <w:sz w:val="20"/>
              </w:rPr>
              <w:t xml:space="preserve">Tarpinė reikšmė </w:t>
            </w:r>
            <w:r>
              <w:rPr>
                <w:b/>
                <w:sz w:val="20"/>
              </w:rPr>
              <w:t>(metai)</w:t>
            </w:r>
          </w:p>
        </w:tc>
        <w:tc>
          <w:tcPr>
            <w:tcW w:w="850" w:type="dxa"/>
            <w:tcBorders>
              <w:bottom w:val="single" w:sz="4" w:space="0" w:color="auto"/>
            </w:tcBorders>
            <w:shd w:val="pct10" w:color="auto" w:fill="auto"/>
          </w:tcPr>
          <w:p w14:paraId="0D7B8D8F" w14:textId="77777777" w:rsidR="002F41E5" w:rsidRDefault="00124FBE">
            <w:pPr>
              <w:jc w:val="center"/>
              <w:rPr>
                <w:b/>
                <w:sz w:val="20"/>
              </w:rPr>
            </w:pPr>
            <w:r>
              <w:rPr>
                <w:b/>
                <w:sz w:val="20"/>
              </w:rPr>
              <w:t>Galutinė reikšmė (metai)</w:t>
            </w:r>
          </w:p>
          <w:p w14:paraId="57F26896" w14:textId="77777777" w:rsidR="002F41E5" w:rsidRDefault="002F41E5">
            <w:pPr>
              <w:ind w:firstLine="567"/>
              <w:jc w:val="center"/>
              <w:rPr>
                <w:b/>
                <w:i/>
                <w:sz w:val="20"/>
              </w:rPr>
            </w:pPr>
          </w:p>
        </w:tc>
        <w:tc>
          <w:tcPr>
            <w:tcW w:w="4962" w:type="dxa"/>
            <w:vMerge/>
            <w:tcBorders>
              <w:bottom w:val="single" w:sz="4" w:space="0" w:color="auto"/>
            </w:tcBorders>
            <w:shd w:val="pct10" w:color="auto" w:fill="auto"/>
          </w:tcPr>
          <w:p w14:paraId="09A320D5" w14:textId="77777777" w:rsidR="002F41E5" w:rsidRDefault="002F41E5">
            <w:pPr>
              <w:ind w:firstLine="567"/>
              <w:jc w:val="both"/>
              <w:rPr>
                <w:b/>
                <w:i/>
                <w:sz w:val="20"/>
              </w:rPr>
            </w:pPr>
          </w:p>
        </w:tc>
      </w:tr>
      <w:tr w:rsidR="002F41E5" w14:paraId="69EF7537" w14:textId="77777777">
        <w:tc>
          <w:tcPr>
            <w:tcW w:w="2405" w:type="dxa"/>
            <w:shd w:val="pct10" w:color="auto" w:fill="auto"/>
          </w:tcPr>
          <w:p w14:paraId="77BC5E0C" w14:textId="77777777" w:rsidR="002F41E5" w:rsidRDefault="00124FBE">
            <w:pPr>
              <w:jc w:val="center"/>
              <w:rPr>
                <w:b/>
                <w:sz w:val="20"/>
              </w:rPr>
            </w:pPr>
            <w:r>
              <w:rPr>
                <w:b/>
                <w:sz w:val="20"/>
              </w:rPr>
              <w:t>1</w:t>
            </w:r>
          </w:p>
        </w:tc>
        <w:tc>
          <w:tcPr>
            <w:tcW w:w="1276" w:type="dxa"/>
            <w:shd w:val="pct10" w:color="auto" w:fill="auto"/>
          </w:tcPr>
          <w:p w14:paraId="1070FD6E" w14:textId="77777777" w:rsidR="002F41E5" w:rsidRDefault="00124FBE">
            <w:pPr>
              <w:ind w:firstLine="175"/>
              <w:jc w:val="center"/>
              <w:rPr>
                <w:b/>
                <w:sz w:val="20"/>
              </w:rPr>
            </w:pPr>
            <w:r>
              <w:rPr>
                <w:b/>
                <w:sz w:val="20"/>
              </w:rPr>
              <w:t>2</w:t>
            </w:r>
          </w:p>
        </w:tc>
        <w:tc>
          <w:tcPr>
            <w:tcW w:w="1559" w:type="dxa"/>
            <w:shd w:val="pct10" w:color="auto" w:fill="auto"/>
          </w:tcPr>
          <w:p w14:paraId="59B71D3B" w14:textId="77777777" w:rsidR="002F41E5" w:rsidRDefault="00124FBE">
            <w:pPr>
              <w:ind w:hanging="108"/>
              <w:jc w:val="center"/>
              <w:rPr>
                <w:b/>
                <w:sz w:val="20"/>
              </w:rPr>
            </w:pPr>
            <w:r>
              <w:rPr>
                <w:b/>
                <w:sz w:val="20"/>
              </w:rPr>
              <w:t>3</w:t>
            </w:r>
          </w:p>
        </w:tc>
        <w:tc>
          <w:tcPr>
            <w:tcW w:w="1134" w:type="dxa"/>
            <w:shd w:val="pct10" w:color="auto" w:fill="auto"/>
          </w:tcPr>
          <w:p w14:paraId="60E94A15" w14:textId="77777777" w:rsidR="002F41E5" w:rsidRDefault="00124FBE">
            <w:pPr>
              <w:jc w:val="center"/>
              <w:rPr>
                <w:b/>
                <w:sz w:val="20"/>
              </w:rPr>
            </w:pPr>
            <w:r>
              <w:rPr>
                <w:b/>
                <w:sz w:val="20"/>
              </w:rPr>
              <w:t>4</w:t>
            </w:r>
          </w:p>
        </w:tc>
        <w:tc>
          <w:tcPr>
            <w:tcW w:w="1559" w:type="dxa"/>
            <w:shd w:val="pct10" w:color="auto" w:fill="auto"/>
          </w:tcPr>
          <w:p w14:paraId="70CBE5D0" w14:textId="77777777" w:rsidR="002F41E5" w:rsidRDefault="00124FBE">
            <w:pPr>
              <w:ind w:hanging="391"/>
              <w:jc w:val="center"/>
              <w:rPr>
                <w:b/>
                <w:sz w:val="20"/>
              </w:rPr>
            </w:pPr>
            <w:r>
              <w:rPr>
                <w:b/>
                <w:sz w:val="20"/>
              </w:rPr>
              <w:t>5</w:t>
            </w:r>
          </w:p>
        </w:tc>
        <w:tc>
          <w:tcPr>
            <w:tcW w:w="851" w:type="dxa"/>
            <w:shd w:val="pct10" w:color="auto" w:fill="auto"/>
          </w:tcPr>
          <w:p w14:paraId="593C42C3" w14:textId="77777777" w:rsidR="002F41E5" w:rsidRDefault="00124FBE">
            <w:pPr>
              <w:jc w:val="center"/>
              <w:rPr>
                <w:b/>
                <w:sz w:val="20"/>
              </w:rPr>
            </w:pPr>
            <w:r>
              <w:rPr>
                <w:b/>
                <w:sz w:val="20"/>
              </w:rPr>
              <w:t>6</w:t>
            </w:r>
          </w:p>
        </w:tc>
        <w:tc>
          <w:tcPr>
            <w:tcW w:w="850" w:type="dxa"/>
            <w:shd w:val="pct10" w:color="auto" w:fill="auto"/>
          </w:tcPr>
          <w:p w14:paraId="77DA29BF" w14:textId="77777777" w:rsidR="002F41E5" w:rsidRDefault="00124FBE">
            <w:pPr>
              <w:ind w:firstLine="33"/>
              <w:jc w:val="center"/>
              <w:rPr>
                <w:b/>
                <w:sz w:val="20"/>
              </w:rPr>
            </w:pPr>
            <w:r>
              <w:rPr>
                <w:b/>
                <w:sz w:val="20"/>
              </w:rPr>
              <w:t>7</w:t>
            </w:r>
          </w:p>
        </w:tc>
        <w:tc>
          <w:tcPr>
            <w:tcW w:w="4962" w:type="dxa"/>
            <w:shd w:val="pct10" w:color="auto" w:fill="auto"/>
          </w:tcPr>
          <w:p w14:paraId="07808EB5" w14:textId="77777777" w:rsidR="002F41E5" w:rsidRDefault="00124FBE">
            <w:pPr>
              <w:ind w:left="-259" w:right="1026" w:firstLine="826"/>
              <w:jc w:val="center"/>
              <w:rPr>
                <w:b/>
                <w:sz w:val="20"/>
              </w:rPr>
            </w:pPr>
            <w:r>
              <w:rPr>
                <w:b/>
                <w:sz w:val="20"/>
              </w:rPr>
              <w:t>8</w:t>
            </w:r>
          </w:p>
        </w:tc>
      </w:tr>
      <w:tr w:rsidR="002F41E5" w14:paraId="64E33E8F" w14:textId="77777777">
        <w:tc>
          <w:tcPr>
            <w:tcW w:w="2405" w:type="dxa"/>
            <w:vMerge w:val="restart"/>
          </w:tcPr>
          <w:p w14:paraId="2270B96A" w14:textId="77777777" w:rsidR="002F41E5" w:rsidRDefault="00124FBE">
            <w:pPr>
              <w:suppressAutoHyphens/>
              <w:jc w:val="both"/>
              <w:textAlignment w:val="baseline"/>
              <w:rPr>
                <w:sz w:val="22"/>
                <w:szCs w:val="22"/>
              </w:rPr>
            </w:pPr>
            <w:r>
              <w:rPr>
                <w:bCs/>
                <w:iCs/>
                <w:sz w:val="22"/>
                <w:szCs w:val="22"/>
              </w:rPr>
              <w:t>Kokybiškų visuomenės sveikatos paslaugų prieinamumo gerinimas Telšių  regione</w:t>
            </w:r>
            <w:r>
              <w:rPr>
                <w:sz w:val="22"/>
                <w:szCs w:val="22"/>
              </w:rPr>
              <w:t>.</w:t>
            </w:r>
          </w:p>
        </w:tc>
        <w:tc>
          <w:tcPr>
            <w:tcW w:w="1276" w:type="dxa"/>
          </w:tcPr>
          <w:p w14:paraId="5985E9B4" w14:textId="77777777" w:rsidR="002F41E5" w:rsidRDefault="00124FBE">
            <w:pPr>
              <w:ind w:hanging="111"/>
              <w:jc w:val="both"/>
              <w:rPr>
                <w:i/>
                <w:sz w:val="22"/>
                <w:szCs w:val="22"/>
              </w:rPr>
            </w:pPr>
            <w:r>
              <w:rPr>
                <w:sz w:val="22"/>
                <w:szCs w:val="22"/>
              </w:rPr>
              <w:t>P.S.2.</w:t>
            </w:r>
            <w:r>
              <w:rPr>
                <w:sz w:val="22"/>
                <w:szCs w:val="22"/>
                <w:lang w:val="en-US"/>
              </w:rPr>
              <w:t>1</w:t>
            </w:r>
            <w:r>
              <w:rPr>
                <w:sz w:val="22"/>
                <w:szCs w:val="22"/>
              </w:rPr>
              <w:t>519</w:t>
            </w:r>
          </w:p>
        </w:tc>
        <w:tc>
          <w:tcPr>
            <w:tcW w:w="1559" w:type="dxa"/>
          </w:tcPr>
          <w:p w14:paraId="01638233" w14:textId="77777777" w:rsidR="002F41E5" w:rsidRDefault="00124FBE">
            <w:pPr>
              <w:jc w:val="both"/>
              <w:rPr>
                <w:i/>
                <w:sz w:val="22"/>
                <w:szCs w:val="22"/>
              </w:rPr>
            </w:pPr>
            <w:r>
              <w:rPr>
                <w:bCs/>
                <w:sz w:val="22"/>
                <w:szCs w:val="22"/>
              </w:rPr>
              <w:t>Asmenys, dalyvavę sveikatos raštingumo didinimo veiklose</w:t>
            </w:r>
            <w:r>
              <w:rPr>
                <w:sz w:val="22"/>
                <w:szCs w:val="22"/>
                <w:lang w:eastAsia="lt-LT"/>
              </w:rPr>
              <w:t xml:space="preserve">| </w:t>
            </w:r>
            <w:r>
              <w:rPr>
                <w:bCs/>
                <w:sz w:val="22"/>
                <w:szCs w:val="22"/>
              </w:rPr>
              <w:t xml:space="preserve">  asmenys</w:t>
            </w:r>
          </w:p>
        </w:tc>
        <w:tc>
          <w:tcPr>
            <w:tcW w:w="1134" w:type="dxa"/>
          </w:tcPr>
          <w:p w14:paraId="61868FE7" w14:textId="77777777" w:rsidR="002F41E5" w:rsidRDefault="00124FBE">
            <w:pPr>
              <w:ind w:firstLine="37"/>
              <w:jc w:val="both"/>
              <w:rPr>
                <w:sz w:val="22"/>
                <w:szCs w:val="22"/>
              </w:rPr>
            </w:pPr>
            <w:r>
              <w:rPr>
                <w:sz w:val="22"/>
                <w:szCs w:val="22"/>
              </w:rPr>
              <w:t>1116556</w:t>
            </w:r>
          </w:p>
        </w:tc>
        <w:tc>
          <w:tcPr>
            <w:tcW w:w="1559" w:type="dxa"/>
          </w:tcPr>
          <w:p w14:paraId="024B85A9" w14:textId="77777777" w:rsidR="002F41E5" w:rsidRDefault="00124FBE">
            <w:pPr>
              <w:ind w:firstLine="567"/>
              <w:jc w:val="both"/>
              <w:rPr>
                <w:sz w:val="22"/>
                <w:szCs w:val="22"/>
                <w:lang w:val="en-US"/>
              </w:rPr>
            </w:pPr>
            <w:r>
              <w:rPr>
                <w:sz w:val="22"/>
                <w:szCs w:val="22"/>
              </w:rPr>
              <w:t>949072</w:t>
            </w:r>
          </w:p>
        </w:tc>
        <w:tc>
          <w:tcPr>
            <w:tcW w:w="851" w:type="dxa"/>
          </w:tcPr>
          <w:p w14:paraId="26536330" w14:textId="77777777" w:rsidR="002F41E5" w:rsidRDefault="00124FBE">
            <w:pPr>
              <w:ind w:firstLine="32"/>
              <w:jc w:val="center"/>
              <w:rPr>
                <w:sz w:val="22"/>
                <w:szCs w:val="22"/>
              </w:rPr>
            </w:pPr>
            <w:r>
              <w:rPr>
                <w:sz w:val="22"/>
                <w:szCs w:val="22"/>
              </w:rPr>
              <w:t>0</w:t>
            </w:r>
          </w:p>
          <w:p w14:paraId="6810E428" w14:textId="77777777" w:rsidR="002F41E5" w:rsidRDefault="00124FBE">
            <w:pPr>
              <w:ind w:firstLine="32"/>
              <w:jc w:val="center"/>
              <w:rPr>
                <w:sz w:val="22"/>
                <w:szCs w:val="22"/>
              </w:rPr>
            </w:pPr>
            <w:r>
              <w:rPr>
                <w:sz w:val="22"/>
                <w:szCs w:val="22"/>
              </w:rPr>
              <w:t>(2024)</w:t>
            </w:r>
          </w:p>
        </w:tc>
        <w:tc>
          <w:tcPr>
            <w:tcW w:w="850" w:type="dxa"/>
          </w:tcPr>
          <w:p w14:paraId="6B0DBA74" w14:textId="77777777" w:rsidR="002F41E5" w:rsidRDefault="00124FBE">
            <w:pPr>
              <w:ind w:firstLine="36"/>
              <w:jc w:val="both"/>
              <w:rPr>
                <w:sz w:val="22"/>
                <w:szCs w:val="22"/>
              </w:rPr>
            </w:pPr>
            <w:r>
              <w:rPr>
                <w:sz w:val="22"/>
                <w:szCs w:val="22"/>
              </w:rPr>
              <w:t>4470</w:t>
            </w:r>
          </w:p>
          <w:p w14:paraId="08B6F1E0" w14:textId="77777777" w:rsidR="002F41E5" w:rsidRDefault="00124FBE">
            <w:pPr>
              <w:ind w:firstLine="36"/>
              <w:jc w:val="both"/>
              <w:rPr>
                <w:sz w:val="22"/>
                <w:szCs w:val="22"/>
              </w:rPr>
            </w:pPr>
            <w:r>
              <w:rPr>
                <w:sz w:val="22"/>
                <w:szCs w:val="22"/>
              </w:rPr>
              <w:t>(2029)</w:t>
            </w:r>
          </w:p>
        </w:tc>
        <w:tc>
          <w:tcPr>
            <w:tcW w:w="4962" w:type="dxa"/>
          </w:tcPr>
          <w:p w14:paraId="6D69CA0E" w14:textId="77777777" w:rsidR="002F41E5" w:rsidRDefault="00124FBE">
            <w:pPr>
              <w:tabs>
                <w:tab w:val="left" w:pos="598"/>
              </w:tabs>
              <w:ind w:firstLine="567"/>
              <w:jc w:val="both"/>
              <w:rPr>
                <w:sz w:val="22"/>
                <w:szCs w:val="22"/>
              </w:rPr>
            </w:pPr>
            <w:r>
              <w:rPr>
                <w:sz w:val="22"/>
                <w:szCs w:val="22"/>
              </w:rPr>
              <w:t xml:space="preserve">Siektina pažangos priemonės veiklos  produkto rodiklio reikšmė 2029 m. nustatyta remiantis savivaldybių planuojamais pasiekti  rodikliais. Planuojamas regiono savivaldybėse  </w:t>
            </w:r>
            <w:r>
              <w:rPr>
                <w:bCs/>
                <w:sz w:val="22"/>
                <w:szCs w:val="22"/>
              </w:rPr>
              <w:t xml:space="preserve">asmenų, dalyvavusių sveikatos raštingumo didinimo veiklose, skaičius </w:t>
            </w:r>
            <w:r>
              <w:rPr>
                <w:sz w:val="22"/>
                <w:szCs w:val="22"/>
              </w:rPr>
              <w:t xml:space="preserve"> – 4470 asmen</w:t>
            </w:r>
            <w:r>
              <w:rPr>
                <w:sz w:val="22"/>
                <w:szCs w:val="22"/>
              </w:rPr>
              <w:t xml:space="preserve">ų. Mažeikių rajono savivaldybėje planuojamas pasiekti rodiklis yra 1830 asmenų,  Plungės rajono savivaldybėje – 330 asmenų,   Rietavo savivaldybėje – 510 asmenų, Telšių rajono savivaldybėje 1800 asmenų. </w:t>
            </w:r>
          </w:p>
          <w:p w14:paraId="0E797752" w14:textId="77777777" w:rsidR="002F41E5" w:rsidRDefault="00124FBE">
            <w:pPr>
              <w:tabs>
                <w:tab w:val="left" w:pos="598"/>
              </w:tabs>
              <w:ind w:firstLine="567"/>
              <w:jc w:val="both"/>
              <w:rPr>
                <w:sz w:val="22"/>
                <w:szCs w:val="22"/>
              </w:rPr>
            </w:pPr>
            <w:r>
              <w:rPr>
                <w:sz w:val="22"/>
                <w:szCs w:val="22"/>
              </w:rPr>
              <w:t>Tarpinė rodiklio reikšmė planuojama 0, nes 2024 m. n</w:t>
            </w:r>
            <w:r>
              <w:rPr>
                <w:sz w:val="22"/>
                <w:szCs w:val="22"/>
              </w:rPr>
              <w:t xml:space="preserve">ė vienas projektas nebus baigtas įgyvendinti.   </w:t>
            </w:r>
          </w:p>
        </w:tc>
      </w:tr>
      <w:tr w:rsidR="002F41E5" w14:paraId="77E60FB8" w14:textId="77777777">
        <w:tc>
          <w:tcPr>
            <w:tcW w:w="2405" w:type="dxa"/>
            <w:vMerge/>
          </w:tcPr>
          <w:p w14:paraId="7CE3CF82" w14:textId="77777777" w:rsidR="002F41E5" w:rsidRDefault="002F41E5">
            <w:pPr>
              <w:suppressAutoHyphens/>
              <w:jc w:val="both"/>
              <w:textAlignment w:val="baseline"/>
              <w:rPr>
                <w:bCs/>
                <w:iCs/>
                <w:color w:val="FF0000"/>
                <w:sz w:val="22"/>
                <w:szCs w:val="22"/>
              </w:rPr>
            </w:pPr>
          </w:p>
        </w:tc>
        <w:tc>
          <w:tcPr>
            <w:tcW w:w="1276" w:type="dxa"/>
          </w:tcPr>
          <w:p w14:paraId="4A9CAD14" w14:textId="77777777" w:rsidR="002F41E5" w:rsidRDefault="00124FBE">
            <w:pPr>
              <w:ind w:hanging="111"/>
              <w:jc w:val="both"/>
              <w:rPr>
                <w:color w:val="000000"/>
                <w:sz w:val="22"/>
                <w:szCs w:val="22"/>
              </w:rPr>
            </w:pPr>
            <w:r>
              <w:rPr>
                <w:bCs/>
                <w:sz w:val="22"/>
                <w:szCs w:val="22"/>
              </w:rPr>
              <w:t>P.B.2.0518</w:t>
            </w:r>
          </w:p>
        </w:tc>
        <w:tc>
          <w:tcPr>
            <w:tcW w:w="1559" w:type="dxa"/>
          </w:tcPr>
          <w:p w14:paraId="77A8C608" w14:textId="77777777" w:rsidR="002F41E5" w:rsidRDefault="00124FBE">
            <w:pPr>
              <w:jc w:val="both"/>
              <w:rPr>
                <w:bCs/>
                <w:sz w:val="22"/>
                <w:szCs w:val="22"/>
              </w:rPr>
            </w:pPr>
            <w:r>
              <w:rPr>
                <w:bCs/>
                <w:sz w:val="22"/>
                <w:szCs w:val="22"/>
              </w:rPr>
              <w:t>Paramą gavusių nacionalinio, regionų ar vietos lygmens viešojo administravimo ar viešąsias paslaugas teikiančių įstaigų skaičius</w:t>
            </w:r>
          </w:p>
        </w:tc>
        <w:tc>
          <w:tcPr>
            <w:tcW w:w="1134" w:type="dxa"/>
          </w:tcPr>
          <w:p w14:paraId="20C22515" w14:textId="77777777" w:rsidR="002F41E5" w:rsidRDefault="00124FBE">
            <w:pPr>
              <w:ind w:firstLine="37"/>
              <w:jc w:val="both"/>
              <w:rPr>
                <w:sz w:val="22"/>
                <w:szCs w:val="22"/>
              </w:rPr>
            </w:pPr>
            <w:r>
              <w:rPr>
                <w:sz w:val="22"/>
                <w:szCs w:val="22"/>
              </w:rPr>
              <w:t>1116556</w:t>
            </w:r>
          </w:p>
        </w:tc>
        <w:tc>
          <w:tcPr>
            <w:tcW w:w="1559" w:type="dxa"/>
          </w:tcPr>
          <w:p w14:paraId="531559FD" w14:textId="77777777" w:rsidR="002F41E5" w:rsidRDefault="00124FBE">
            <w:pPr>
              <w:ind w:firstLine="567"/>
              <w:jc w:val="both"/>
              <w:rPr>
                <w:sz w:val="22"/>
                <w:szCs w:val="22"/>
              </w:rPr>
            </w:pPr>
            <w:r>
              <w:rPr>
                <w:sz w:val="22"/>
                <w:szCs w:val="22"/>
              </w:rPr>
              <w:t>949072</w:t>
            </w:r>
          </w:p>
        </w:tc>
        <w:tc>
          <w:tcPr>
            <w:tcW w:w="851" w:type="dxa"/>
          </w:tcPr>
          <w:p w14:paraId="752A240F" w14:textId="77777777" w:rsidR="002F41E5" w:rsidRDefault="00124FBE">
            <w:pPr>
              <w:ind w:firstLine="32"/>
              <w:jc w:val="center"/>
              <w:rPr>
                <w:sz w:val="22"/>
                <w:szCs w:val="22"/>
              </w:rPr>
            </w:pPr>
            <w:r>
              <w:rPr>
                <w:sz w:val="22"/>
                <w:szCs w:val="22"/>
              </w:rPr>
              <w:t>0 (2024)</w:t>
            </w:r>
          </w:p>
        </w:tc>
        <w:tc>
          <w:tcPr>
            <w:tcW w:w="850" w:type="dxa"/>
          </w:tcPr>
          <w:p w14:paraId="6CB65BE4" w14:textId="77777777" w:rsidR="002F41E5" w:rsidRDefault="00124FBE">
            <w:pPr>
              <w:ind w:firstLine="320"/>
              <w:rPr>
                <w:sz w:val="22"/>
                <w:szCs w:val="22"/>
              </w:rPr>
            </w:pPr>
            <w:r>
              <w:rPr>
                <w:sz w:val="22"/>
                <w:szCs w:val="22"/>
              </w:rPr>
              <w:t>8</w:t>
            </w:r>
          </w:p>
          <w:p w14:paraId="2AF03131" w14:textId="77777777" w:rsidR="002F41E5" w:rsidRDefault="00124FBE">
            <w:pPr>
              <w:ind w:firstLine="36"/>
              <w:jc w:val="both"/>
              <w:rPr>
                <w:color w:val="FF0000"/>
                <w:sz w:val="22"/>
                <w:szCs w:val="22"/>
              </w:rPr>
            </w:pPr>
            <w:r>
              <w:rPr>
                <w:sz w:val="22"/>
                <w:szCs w:val="22"/>
              </w:rPr>
              <w:t>(2029)</w:t>
            </w:r>
          </w:p>
        </w:tc>
        <w:tc>
          <w:tcPr>
            <w:tcW w:w="4962" w:type="dxa"/>
          </w:tcPr>
          <w:p w14:paraId="5B9BE5EA" w14:textId="77777777" w:rsidR="002F41E5" w:rsidRDefault="00124FBE">
            <w:pPr>
              <w:tabs>
                <w:tab w:val="left" w:pos="598"/>
              </w:tabs>
              <w:ind w:firstLine="567"/>
              <w:jc w:val="both"/>
              <w:rPr>
                <w:sz w:val="22"/>
                <w:szCs w:val="22"/>
              </w:rPr>
            </w:pPr>
            <w:r>
              <w:rPr>
                <w:sz w:val="22"/>
                <w:szCs w:val="22"/>
              </w:rPr>
              <w:t>Siektina pažangos priemonės veiklos  produkto rodiklio reikšmė 2029 m. nustatyta remiantis savivaldybių planuojamais pasiekti  rodikliais. Kiekvienos savivaldybės projekto pareiškėjai ir vykdytojai yra visuomenės sveikatos biurai su partneriais – savivaldy</w:t>
            </w:r>
            <w:r>
              <w:rPr>
                <w:sz w:val="22"/>
                <w:szCs w:val="22"/>
              </w:rPr>
              <w:t xml:space="preserve">bių administracijomis, iš viso 8 </w:t>
            </w:r>
            <w:r>
              <w:rPr>
                <w:bCs/>
                <w:sz w:val="22"/>
                <w:szCs w:val="22"/>
              </w:rPr>
              <w:t xml:space="preserve">nacionalinio, regionų ar vietos lygmens viešojo administravimo ar viešąsias paslaugas teikiančios įstaigos. </w:t>
            </w:r>
          </w:p>
          <w:p w14:paraId="06D015EE" w14:textId="77777777" w:rsidR="002F41E5" w:rsidRDefault="002F41E5">
            <w:pPr>
              <w:tabs>
                <w:tab w:val="left" w:pos="598"/>
              </w:tabs>
              <w:ind w:firstLine="567"/>
              <w:jc w:val="both"/>
              <w:rPr>
                <w:sz w:val="22"/>
                <w:szCs w:val="22"/>
              </w:rPr>
            </w:pPr>
          </w:p>
        </w:tc>
      </w:tr>
    </w:tbl>
    <w:p w14:paraId="4FF5F1E4" w14:textId="77777777" w:rsidR="002F41E5" w:rsidRDefault="00124FBE">
      <w:pPr>
        <w:ind w:right="403" w:firstLine="567"/>
        <w:jc w:val="right"/>
        <w:rPr>
          <w:color w:val="808080"/>
          <w:szCs w:val="24"/>
        </w:rPr>
      </w:pPr>
      <w:r>
        <w:rPr>
          <w:color w:val="000000"/>
          <w:szCs w:val="24"/>
        </w:rPr>
        <w:lastRenderedPageBreak/>
        <w:t>Lentelė Nr. 3</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457"/>
        <w:gridCol w:w="683"/>
        <w:gridCol w:w="452"/>
        <w:gridCol w:w="1194"/>
        <w:gridCol w:w="902"/>
        <w:gridCol w:w="359"/>
        <w:gridCol w:w="939"/>
        <w:gridCol w:w="986"/>
        <w:gridCol w:w="1457"/>
        <w:gridCol w:w="1409"/>
        <w:gridCol w:w="3510"/>
      </w:tblGrid>
      <w:tr w:rsidR="002F41E5" w14:paraId="1F72A373" w14:textId="77777777">
        <w:tc>
          <w:tcPr>
            <w:tcW w:w="14596" w:type="dxa"/>
            <w:gridSpan w:val="12"/>
            <w:tcBorders>
              <w:bottom w:val="single" w:sz="4" w:space="0" w:color="auto"/>
            </w:tcBorders>
            <w:shd w:val="pct10" w:color="auto" w:fill="auto"/>
            <w:vAlign w:val="center"/>
          </w:tcPr>
          <w:p w14:paraId="294D8EF9" w14:textId="77777777" w:rsidR="002F41E5" w:rsidRDefault="00124FBE">
            <w:pPr>
              <w:jc w:val="center"/>
              <w:rPr>
                <w:b/>
                <w:color w:val="000000"/>
                <w:sz w:val="20"/>
              </w:rPr>
            </w:pPr>
            <w:r>
              <w:rPr>
                <w:b/>
                <w:color w:val="000000"/>
                <w:sz w:val="20"/>
              </w:rPr>
              <w:t>Pažangos priemonės rezultato rodikliai</w:t>
            </w:r>
          </w:p>
        </w:tc>
      </w:tr>
      <w:tr w:rsidR="002F41E5" w14:paraId="471E583F" w14:textId="77777777">
        <w:tc>
          <w:tcPr>
            <w:tcW w:w="1255" w:type="dxa"/>
            <w:vMerge w:val="restart"/>
            <w:shd w:val="pct10" w:color="auto" w:fill="auto"/>
            <w:vAlign w:val="center"/>
          </w:tcPr>
          <w:p w14:paraId="0BF54713" w14:textId="77777777" w:rsidR="002F41E5" w:rsidRDefault="00124FBE">
            <w:pPr>
              <w:jc w:val="center"/>
              <w:rPr>
                <w:b/>
                <w:color w:val="000000"/>
                <w:sz w:val="20"/>
              </w:rPr>
            </w:pPr>
            <w:r>
              <w:rPr>
                <w:b/>
                <w:color w:val="000000"/>
                <w:sz w:val="20"/>
              </w:rPr>
              <w:t>Rodiklio kodas</w:t>
            </w:r>
          </w:p>
        </w:tc>
        <w:tc>
          <w:tcPr>
            <w:tcW w:w="1457" w:type="dxa"/>
            <w:vMerge w:val="restart"/>
            <w:shd w:val="pct10" w:color="auto" w:fill="auto"/>
            <w:vAlign w:val="center"/>
          </w:tcPr>
          <w:p w14:paraId="5BB464A4" w14:textId="77777777" w:rsidR="002F41E5" w:rsidRDefault="00124FBE">
            <w:pPr>
              <w:jc w:val="center"/>
              <w:rPr>
                <w:b/>
                <w:color w:val="000000"/>
                <w:sz w:val="20"/>
              </w:rPr>
            </w:pPr>
            <w:r>
              <w:rPr>
                <w:b/>
                <w:color w:val="000000"/>
                <w:sz w:val="20"/>
              </w:rPr>
              <w:t xml:space="preserve">Rodiklio pavadinimas, matavimo </w:t>
            </w:r>
            <w:r>
              <w:rPr>
                <w:b/>
                <w:color w:val="000000"/>
                <w:sz w:val="20"/>
              </w:rPr>
              <w:t>vienetas</w:t>
            </w:r>
          </w:p>
        </w:tc>
        <w:tc>
          <w:tcPr>
            <w:tcW w:w="1092" w:type="dxa"/>
            <w:gridSpan w:val="2"/>
            <w:vMerge w:val="restart"/>
            <w:shd w:val="pct10" w:color="auto" w:fill="auto"/>
            <w:vAlign w:val="center"/>
          </w:tcPr>
          <w:p w14:paraId="3285BF05" w14:textId="77777777" w:rsidR="002F41E5" w:rsidRDefault="00124FBE">
            <w:pPr>
              <w:jc w:val="center"/>
              <w:rPr>
                <w:b/>
                <w:color w:val="000000"/>
                <w:sz w:val="20"/>
              </w:rPr>
            </w:pPr>
            <w:r>
              <w:rPr>
                <w:b/>
                <w:color w:val="000000"/>
                <w:sz w:val="20"/>
              </w:rPr>
              <w:t>Pradinė rodiklio reikšmė (2023 metai)</w:t>
            </w:r>
          </w:p>
        </w:tc>
        <w:tc>
          <w:tcPr>
            <w:tcW w:w="2458" w:type="dxa"/>
            <w:gridSpan w:val="3"/>
            <w:shd w:val="pct10" w:color="auto" w:fill="auto"/>
          </w:tcPr>
          <w:p w14:paraId="4FFDFBAE" w14:textId="77777777" w:rsidR="002F41E5" w:rsidRDefault="00124FBE">
            <w:pPr>
              <w:jc w:val="center"/>
              <w:rPr>
                <w:b/>
                <w:color w:val="000000"/>
                <w:sz w:val="20"/>
              </w:rPr>
            </w:pPr>
            <w:r>
              <w:rPr>
                <w:b/>
                <w:color w:val="000000"/>
                <w:sz w:val="20"/>
              </w:rPr>
              <w:t>Rodikliui pasiekti planuojama panaudoti pažangos lėšų suma, Eur</w:t>
            </w:r>
          </w:p>
        </w:tc>
        <w:tc>
          <w:tcPr>
            <w:tcW w:w="1925" w:type="dxa"/>
            <w:gridSpan w:val="2"/>
            <w:shd w:val="pct10" w:color="auto" w:fill="auto"/>
            <w:vAlign w:val="center"/>
          </w:tcPr>
          <w:p w14:paraId="5DAD2C62" w14:textId="77777777" w:rsidR="002F41E5" w:rsidRDefault="00124FBE">
            <w:pPr>
              <w:jc w:val="center"/>
              <w:rPr>
                <w:b/>
                <w:color w:val="000000"/>
                <w:sz w:val="20"/>
              </w:rPr>
            </w:pPr>
            <w:r>
              <w:rPr>
                <w:b/>
                <w:color w:val="000000"/>
                <w:sz w:val="20"/>
              </w:rPr>
              <w:t>Siektinos rodiklio reikšmės</w:t>
            </w:r>
          </w:p>
        </w:tc>
        <w:tc>
          <w:tcPr>
            <w:tcW w:w="6409" w:type="dxa"/>
            <w:gridSpan w:val="3"/>
            <w:vMerge w:val="restart"/>
            <w:shd w:val="pct10" w:color="auto" w:fill="auto"/>
            <w:vAlign w:val="center"/>
          </w:tcPr>
          <w:p w14:paraId="578C9433" w14:textId="77777777" w:rsidR="002F41E5" w:rsidRDefault="00124FBE">
            <w:pPr>
              <w:jc w:val="center"/>
              <w:rPr>
                <w:b/>
                <w:color w:val="000000"/>
                <w:sz w:val="20"/>
              </w:rPr>
            </w:pPr>
            <w:r>
              <w:rPr>
                <w:b/>
                <w:color w:val="000000"/>
                <w:sz w:val="20"/>
              </w:rPr>
              <w:t>Siektinos rodiklio reikšmės nustatymo pagrindimas</w:t>
            </w:r>
          </w:p>
        </w:tc>
      </w:tr>
      <w:tr w:rsidR="002F41E5" w14:paraId="4AC359FF" w14:textId="77777777">
        <w:tc>
          <w:tcPr>
            <w:tcW w:w="1255" w:type="dxa"/>
            <w:vMerge/>
            <w:shd w:val="pct10" w:color="auto" w:fill="auto"/>
          </w:tcPr>
          <w:p w14:paraId="722C3C0E" w14:textId="77777777" w:rsidR="002F41E5" w:rsidRDefault="002F41E5">
            <w:pPr>
              <w:jc w:val="center"/>
              <w:rPr>
                <w:b/>
                <w:color w:val="000000"/>
                <w:sz w:val="20"/>
              </w:rPr>
            </w:pPr>
          </w:p>
        </w:tc>
        <w:tc>
          <w:tcPr>
            <w:tcW w:w="1457" w:type="dxa"/>
            <w:vMerge/>
            <w:shd w:val="pct10" w:color="auto" w:fill="auto"/>
          </w:tcPr>
          <w:p w14:paraId="2608D6C1" w14:textId="77777777" w:rsidR="002F41E5" w:rsidRDefault="002F41E5">
            <w:pPr>
              <w:jc w:val="center"/>
              <w:rPr>
                <w:b/>
                <w:color w:val="000000"/>
                <w:sz w:val="20"/>
              </w:rPr>
            </w:pPr>
          </w:p>
        </w:tc>
        <w:tc>
          <w:tcPr>
            <w:tcW w:w="1092" w:type="dxa"/>
            <w:gridSpan w:val="2"/>
            <w:vMerge/>
            <w:shd w:val="pct10" w:color="auto" w:fill="auto"/>
          </w:tcPr>
          <w:p w14:paraId="3C2372B8" w14:textId="77777777" w:rsidR="002F41E5" w:rsidRDefault="002F41E5">
            <w:pPr>
              <w:jc w:val="center"/>
              <w:rPr>
                <w:b/>
                <w:color w:val="000000"/>
                <w:sz w:val="20"/>
              </w:rPr>
            </w:pPr>
          </w:p>
        </w:tc>
        <w:tc>
          <w:tcPr>
            <w:tcW w:w="1197" w:type="dxa"/>
            <w:shd w:val="pct10" w:color="auto" w:fill="auto"/>
          </w:tcPr>
          <w:p w14:paraId="36F4D70F" w14:textId="77777777" w:rsidR="002F41E5" w:rsidRDefault="00124FBE">
            <w:pPr>
              <w:jc w:val="center"/>
              <w:rPr>
                <w:b/>
                <w:color w:val="000000"/>
                <w:sz w:val="20"/>
              </w:rPr>
            </w:pPr>
            <w:r>
              <w:rPr>
                <w:b/>
                <w:color w:val="000000"/>
                <w:sz w:val="20"/>
              </w:rPr>
              <w:t>Iš viso</w:t>
            </w:r>
          </w:p>
        </w:tc>
        <w:tc>
          <w:tcPr>
            <w:tcW w:w="1261" w:type="dxa"/>
            <w:gridSpan w:val="2"/>
            <w:shd w:val="pct10" w:color="auto" w:fill="auto"/>
          </w:tcPr>
          <w:p w14:paraId="69EB2899" w14:textId="77777777" w:rsidR="002F41E5" w:rsidRDefault="00124FBE">
            <w:pPr>
              <w:jc w:val="center"/>
              <w:rPr>
                <w:b/>
                <w:color w:val="000000"/>
                <w:sz w:val="20"/>
              </w:rPr>
            </w:pPr>
            <w:r>
              <w:rPr>
                <w:b/>
                <w:color w:val="000000"/>
                <w:sz w:val="20"/>
              </w:rPr>
              <w:t xml:space="preserve">Iš jų ES, kitos tarptautinės finansinės paramos ir </w:t>
            </w:r>
            <w:r>
              <w:rPr>
                <w:b/>
                <w:color w:val="000000"/>
                <w:sz w:val="20"/>
              </w:rPr>
              <w:t>valstybės biudžeto lėšų suma</w:t>
            </w:r>
          </w:p>
        </w:tc>
        <w:tc>
          <w:tcPr>
            <w:tcW w:w="939" w:type="dxa"/>
            <w:shd w:val="pct10" w:color="auto" w:fill="auto"/>
          </w:tcPr>
          <w:p w14:paraId="7D8160BA" w14:textId="77777777" w:rsidR="002F41E5" w:rsidRDefault="00124FBE">
            <w:pPr>
              <w:jc w:val="center"/>
              <w:rPr>
                <w:b/>
                <w:color w:val="000000"/>
                <w:sz w:val="20"/>
              </w:rPr>
            </w:pPr>
            <w:r>
              <w:rPr>
                <w:b/>
                <w:color w:val="000000"/>
                <w:sz w:val="20"/>
              </w:rPr>
              <w:t>Tarpinė reikšmė (2024 metai)</w:t>
            </w:r>
          </w:p>
        </w:tc>
        <w:tc>
          <w:tcPr>
            <w:tcW w:w="986" w:type="dxa"/>
            <w:shd w:val="pct10" w:color="auto" w:fill="auto"/>
          </w:tcPr>
          <w:p w14:paraId="6768B608" w14:textId="77777777" w:rsidR="002F41E5" w:rsidRDefault="00124FBE">
            <w:pPr>
              <w:jc w:val="center"/>
              <w:rPr>
                <w:b/>
                <w:color w:val="000000"/>
                <w:sz w:val="20"/>
              </w:rPr>
            </w:pPr>
            <w:r>
              <w:rPr>
                <w:b/>
                <w:color w:val="000000"/>
                <w:sz w:val="20"/>
              </w:rPr>
              <w:t>Galutinė reikšmė (2029 metai)</w:t>
            </w:r>
          </w:p>
          <w:p w14:paraId="371C317D" w14:textId="77777777" w:rsidR="002F41E5" w:rsidRDefault="002F41E5">
            <w:pPr>
              <w:jc w:val="center"/>
              <w:rPr>
                <w:b/>
                <w:color w:val="000000"/>
                <w:sz w:val="20"/>
              </w:rPr>
            </w:pPr>
          </w:p>
        </w:tc>
        <w:tc>
          <w:tcPr>
            <w:tcW w:w="6409" w:type="dxa"/>
            <w:gridSpan w:val="3"/>
            <w:vMerge/>
            <w:shd w:val="pct10" w:color="auto" w:fill="auto"/>
          </w:tcPr>
          <w:p w14:paraId="4FA3676B" w14:textId="77777777" w:rsidR="002F41E5" w:rsidRDefault="002F41E5">
            <w:pPr>
              <w:jc w:val="both"/>
              <w:rPr>
                <w:b/>
                <w:i/>
                <w:color w:val="000000"/>
                <w:sz w:val="20"/>
              </w:rPr>
            </w:pPr>
          </w:p>
        </w:tc>
      </w:tr>
      <w:tr w:rsidR="002F41E5" w14:paraId="43C05483" w14:textId="77777777">
        <w:tc>
          <w:tcPr>
            <w:tcW w:w="1255" w:type="dxa"/>
            <w:shd w:val="pct10" w:color="auto" w:fill="auto"/>
          </w:tcPr>
          <w:p w14:paraId="43607B94" w14:textId="77777777" w:rsidR="002F41E5" w:rsidRDefault="00124FBE">
            <w:pPr>
              <w:jc w:val="center"/>
              <w:rPr>
                <w:b/>
                <w:color w:val="000000"/>
                <w:sz w:val="22"/>
                <w:szCs w:val="22"/>
              </w:rPr>
            </w:pPr>
            <w:r>
              <w:rPr>
                <w:b/>
                <w:color w:val="000000"/>
                <w:sz w:val="22"/>
                <w:szCs w:val="22"/>
              </w:rPr>
              <w:t>1</w:t>
            </w:r>
          </w:p>
        </w:tc>
        <w:tc>
          <w:tcPr>
            <w:tcW w:w="1457" w:type="dxa"/>
            <w:shd w:val="pct10" w:color="auto" w:fill="auto"/>
          </w:tcPr>
          <w:p w14:paraId="6771C4D7" w14:textId="77777777" w:rsidR="002F41E5" w:rsidRDefault="00124FBE">
            <w:pPr>
              <w:jc w:val="center"/>
              <w:rPr>
                <w:b/>
                <w:color w:val="000000"/>
                <w:sz w:val="22"/>
                <w:szCs w:val="22"/>
              </w:rPr>
            </w:pPr>
            <w:r>
              <w:rPr>
                <w:b/>
                <w:color w:val="000000"/>
                <w:sz w:val="22"/>
                <w:szCs w:val="22"/>
              </w:rPr>
              <w:t>2</w:t>
            </w:r>
          </w:p>
        </w:tc>
        <w:tc>
          <w:tcPr>
            <w:tcW w:w="1092" w:type="dxa"/>
            <w:gridSpan w:val="2"/>
            <w:shd w:val="pct10" w:color="auto" w:fill="auto"/>
          </w:tcPr>
          <w:p w14:paraId="12995169" w14:textId="77777777" w:rsidR="002F41E5" w:rsidRDefault="00124FBE">
            <w:pPr>
              <w:jc w:val="center"/>
              <w:rPr>
                <w:b/>
                <w:color w:val="000000"/>
                <w:sz w:val="22"/>
                <w:szCs w:val="22"/>
              </w:rPr>
            </w:pPr>
            <w:r>
              <w:rPr>
                <w:b/>
                <w:color w:val="000000"/>
                <w:sz w:val="22"/>
                <w:szCs w:val="22"/>
              </w:rPr>
              <w:t>3</w:t>
            </w:r>
          </w:p>
        </w:tc>
        <w:tc>
          <w:tcPr>
            <w:tcW w:w="1197" w:type="dxa"/>
            <w:shd w:val="pct10" w:color="auto" w:fill="auto"/>
          </w:tcPr>
          <w:p w14:paraId="1ED4F2CD" w14:textId="77777777" w:rsidR="002F41E5" w:rsidRDefault="00124FBE">
            <w:pPr>
              <w:jc w:val="center"/>
              <w:rPr>
                <w:b/>
                <w:color w:val="000000"/>
                <w:sz w:val="22"/>
                <w:szCs w:val="22"/>
              </w:rPr>
            </w:pPr>
            <w:r>
              <w:rPr>
                <w:b/>
                <w:color w:val="000000"/>
                <w:sz w:val="22"/>
                <w:szCs w:val="22"/>
              </w:rPr>
              <w:t>4</w:t>
            </w:r>
          </w:p>
        </w:tc>
        <w:tc>
          <w:tcPr>
            <w:tcW w:w="1261" w:type="dxa"/>
            <w:gridSpan w:val="2"/>
            <w:shd w:val="pct10" w:color="auto" w:fill="auto"/>
          </w:tcPr>
          <w:p w14:paraId="6A736B27" w14:textId="77777777" w:rsidR="002F41E5" w:rsidRDefault="00124FBE">
            <w:pPr>
              <w:jc w:val="center"/>
              <w:rPr>
                <w:b/>
                <w:color w:val="000000"/>
                <w:sz w:val="22"/>
                <w:szCs w:val="22"/>
              </w:rPr>
            </w:pPr>
            <w:r>
              <w:rPr>
                <w:b/>
                <w:color w:val="000000"/>
                <w:sz w:val="22"/>
                <w:szCs w:val="22"/>
              </w:rPr>
              <w:t>5</w:t>
            </w:r>
          </w:p>
        </w:tc>
        <w:tc>
          <w:tcPr>
            <w:tcW w:w="939" w:type="dxa"/>
            <w:shd w:val="pct10" w:color="auto" w:fill="auto"/>
          </w:tcPr>
          <w:p w14:paraId="68E29859" w14:textId="77777777" w:rsidR="002F41E5" w:rsidRDefault="00124FBE">
            <w:pPr>
              <w:jc w:val="center"/>
              <w:rPr>
                <w:b/>
                <w:color w:val="000000"/>
                <w:sz w:val="22"/>
                <w:szCs w:val="22"/>
              </w:rPr>
            </w:pPr>
            <w:r>
              <w:rPr>
                <w:b/>
                <w:color w:val="000000"/>
                <w:sz w:val="22"/>
                <w:szCs w:val="22"/>
              </w:rPr>
              <w:t>6</w:t>
            </w:r>
          </w:p>
        </w:tc>
        <w:tc>
          <w:tcPr>
            <w:tcW w:w="986" w:type="dxa"/>
            <w:shd w:val="pct10" w:color="auto" w:fill="auto"/>
          </w:tcPr>
          <w:p w14:paraId="57FB7EB9" w14:textId="77777777" w:rsidR="002F41E5" w:rsidRDefault="00124FBE">
            <w:pPr>
              <w:jc w:val="center"/>
              <w:rPr>
                <w:b/>
                <w:color w:val="000000"/>
                <w:sz w:val="22"/>
                <w:szCs w:val="22"/>
              </w:rPr>
            </w:pPr>
            <w:r>
              <w:rPr>
                <w:b/>
                <w:color w:val="000000"/>
                <w:sz w:val="22"/>
                <w:szCs w:val="22"/>
              </w:rPr>
              <w:t>7</w:t>
            </w:r>
          </w:p>
        </w:tc>
        <w:tc>
          <w:tcPr>
            <w:tcW w:w="6409" w:type="dxa"/>
            <w:gridSpan w:val="3"/>
            <w:shd w:val="pct10" w:color="auto" w:fill="auto"/>
          </w:tcPr>
          <w:p w14:paraId="66396ABA" w14:textId="77777777" w:rsidR="002F41E5" w:rsidRDefault="00124FBE">
            <w:pPr>
              <w:jc w:val="center"/>
              <w:rPr>
                <w:b/>
                <w:color w:val="000000"/>
                <w:sz w:val="22"/>
                <w:szCs w:val="22"/>
              </w:rPr>
            </w:pPr>
            <w:r>
              <w:rPr>
                <w:b/>
                <w:color w:val="000000"/>
                <w:sz w:val="22"/>
                <w:szCs w:val="22"/>
              </w:rPr>
              <w:t>8</w:t>
            </w:r>
          </w:p>
        </w:tc>
      </w:tr>
      <w:tr w:rsidR="002F41E5" w14:paraId="78FE3EA6" w14:textId="77777777">
        <w:tc>
          <w:tcPr>
            <w:tcW w:w="1255" w:type="dxa"/>
          </w:tcPr>
          <w:p w14:paraId="4476F17E" w14:textId="77777777" w:rsidR="002F41E5" w:rsidRDefault="00124FBE">
            <w:pPr>
              <w:jc w:val="both"/>
              <w:rPr>
                <w:sz w:val="22"/>
                <w:szCs w:val="22"/>
              </w:rPr>
            </w:pPr>
            <w:r>
              <w:rPr>
                <w:sz w:val="22"/>
                <w:szCs w:val="22"/>
              </w:rPr>
              <w:t>R.S.2.3523</w:t>
            </w:r>
          </w:p>
        </w:tc>
        <w:tc>
          <w:tcPr>
            <w:tcW w:w="1457" w:type="dxa"/>
          </w:tcPr>
          <w:p w14:paraId="221B48B1" w14:textId="77777777" w:rsidR="002F41E5" w:rsidRDefault="00124FBE">
            <w:pPr>
              <w:rPr>
                <w:sz w:val="22"/>
                <w:szCs w:val="22"/>
              </w:rPr>
            </w:pPr>
            <w:r>
              <w:rPr>
                <w:sz w:val="22"/>
                <w:szCs w:val="22"/>
              </w:rPr>
              <w:t xml:space="preserve">Asmenų, po dalyvavimo veiklose pagerinusių sveikatos raštingumo kompetenciją, dalis </w:t>
            </w:r>
            <w:r>
              <w:rPr>
                <w:sz w:val="18"/>
                <w:szCs w:val="18"/>
                <w:lang w:eastAsia="lt-LT"/>
              </w:rPr>
              <w:t xml:space="preserve">| </w:t>
            </w:r>
            <w:r>
              <w:rPr>
                <w:bCs/>
                <w:sz w:val="20"/>
              </w:rPr>
              <w:t xml:space="preserve"> </w:t>
            </w:r>
            <w:r>
              <w:rPr>
                <w:bCs/>
                <w:sz w:val="22"/>
                <w:szCs w:val="22"/>
              </w:rPr>
              <w:t>Procentai</w:t>
            </w:r>
          </w:p>
        </w:tc>
        <w:tc>
          <w:tcPr>
            <w:tcW w:w="1092" w:type="dxa"/>
            <w:gridSpan w:val="2"/>
          </w:tcPr>
          <w:p w14:paraId="0BC06095" w14:textId="77777777" w:rsidR="002F41E5" w:rsidRDefault="00124FBE">
            <w:pPr>
              <w:jc w:val="both"/>
              <w:rPr>
                <w:sz w:val="22"/>
                <w:szCs w:val="22"/>
              </w:rPr>
            </w:pPr>
            <w:r>
              <w:rPr>
                <w:sz w:val="22"/>
                <w:szCs w:val="22"/>
              </w:rPr>
              <w:t>0</w:t>
            </w:r>
          </w:p>
        </w:tc>
        <w:tc>
          <w:tcPr>
            <w:tcW w:w="1197" w:type="dxa"/>
          </w:tcPr>
          <w:p w14:paraId="6E45E308" w14:textId="77777777" w:rsidR="002F41E5" w:rsidRDefault="00124FBE">
            <w:pPr>
              <w:jc w:val="both"/>
              <w:rPr>
                <w:sz w:val="22"/>
                <w:szCs w:val="22"/>
              </w:rPr>
            </w:pPr>
            <w:r>
              <w:rPr>
                <w:sz w:val="22"/>
                <w:szCs w:val="22"/>
              </w:rPr>
              <w:t>1116556</w:t>
            </w:r>
          </w:p>
        </w:tc>
        <w:tc>
          <w:tcPr>
            <w:tcW w:w="1261" w:type="dxa"/>
            <w:gridSpan w:val="2"/>
          </w:tcPr>
          <w:p w14:paraId="0A239EDF" w14:textId="77777777" w:rsidR="002F41E5" w:rsidRDefault="00124FBE">
            <w:pPr>
              <w:jc w:val="both"/>
              <w:rPr>
                <w:sz w:val="22"/>
                <w:szCs w:val="22"/>
              </w:rPr>
            </w:pPr>
            <w:r>
              <w:rPr>
                <w:sz w:val="22"/>
                <w:szCs w:val="22"/>
              </w:rPr>
              <w:t>949072</w:t>
            </w:r>
          </w:p>
        </w:tc>
        <w:tc>
          <w:tcPr>
            <w:tcW w:w="939" w:type="dxa"/>
          </w:tcPr>
          <w:p w14:paraId="13929952" w14:textId="77777777" w:rsidR="002F41E5" w:rsidRDefault="00124FBE">
            <w:pPr>
              <w:jc w:val="center"/>
              <w:rPr>
                <w:sz w:val="22"/>
                <w:szCs w:val="22"/>
              </w:rPr>
            </w:pPr>
            <w:r>
              <w:rPr>
                <w:sz w:val="22"/>
                <w:szCs w:val="22"/>
              </w:rPr>
              <w:t>0</w:t>
            </w:r>
          </w:p>
          <w:p w14:paraId="7A109D20" w14:textId="77777777" w:rsidR="002F41E5" w:rsidRDefault="00124FBE">
            <w:pPr>
              <w:jc w:val="center"/>
              <w:rPr>
                <w:sz w:val="22"/>
                <w:szCs w:val="22"/>
              </w:rPr>
            </w:pPr>
            <w:r>
              <w:rPr>
                <w:sz w:val="22"/>
                <w:szCs w:val="22"/>
              </w:rPr>
              <w:t>(2024)</w:t>
            </w:r>
          </w:p>
        </w:tc>
        <w:tc>
          <w:tcPr>
            <w:tcW w:w="986" w:type="dxa"/>
          </w:tcPr>
          <w:p w14:paraId="6A68D99F" w14:textId="77777777" w:rsidR="002F41E5" w:rsidRDefault="00124FBE">
            <w:pPr>
              <w:jc w:val="center"/>
              <w:rPr>
                <w:sz w:val="22"/>
                <w:szCs w:val="22"/>
              </w:rPr>
            </w:pPr>
            <w:r>
              <w:rPr>
                <w:sz w:val="22"/>
                <w:szCs w:val="22"/>
              </w:rPr>
              <w:t>80</w:t>
            </w:r>
          </w:p>
          <w:p w14:paraId="5371927C" w14:textId="77777777" w:rsidR="002F41E5" w:rsidRDefault="00124FBE">
            <w:pPr>
              <w:jc w:val="center"/>
              <w:rPr>
                <w:sz w:val="22"/>
                <w:szCs w:val="22"/>
              </w:rPr>
            </w:pPr>
            <w:r>
              <w:rPr>
                <w:sz w:val="22"/>
                <w:szCs w:val="22"/>
              </w:rPr>
              <w:t>(2029)</w:t>
            </w:r>
          </w:p>
          <w:p w14:paraId="470D8433" w14:textId="77777777" w:rsidR="002F41E5" w:rsidRDefault="002F41E5">
            <w:pPr>
              <w:jc w:val="center"/>
              <w:rPr>
                <w:sz w:val="22"/>
                <w:szCs w:val="22"/>
              </w:rPr>
            </w:pPr>
          </w:p>
        </w:tc>
        <w:tc>
          <w:tcPr>
            <w:tcW w:w="6409" w:type="dxa"/>
            <w:gridSpan w:val="3"/>
          </w:tcPr>
          <w:p w14:paraId="6C957A9B" w14:textId="77777777" w:rsidR="002F41E5" w:rsidRDefault="00124FBE">
            <w:pPr>
              <w:jc w:val="both"/>
              <w:rPr>
                <w:sz w:val="22"/>
                <w:szCs w:val="22"/>
              </w:rPr>
            </w:pPr>
            <w:r>
              <w:rPr>
                <w:sz w:val="22"/>
                <w:szCs w:val="22"/>
              </w:rPr>
              <w:t>Siektina pažangos priemonės veiklos  rezultato rodiklio reikšmė 2029 m. nustatyta remiantis savivaldybių planuojamais pasiekti  rodikliais. Visos savivaldybės yra suplanavusios pasiekti, kad  80 proc. asmenų, po dalyvavimo veiklose bus pagerinę sveikatos r</w:t>
            </w:r>
            <w:r>
              <w:rPr>
                <w:sz w:val="22"/>
                <w:szCs w:val="22"/>
              </w:rPr>
              <w:t xml:space="preserve">aštingumo kompetenciją. </w:t>
            </w:r>
          </w:p>
          <w:p w14:paraId="3D8D8398" w14:textId="77777777" w:rsidR="002F41E5" w:rsidRDefault="00124FBE">
            <w:pPr>
              <w:jc w:val="both"/>
              <w:rPr>
                <w:sz w:val="22"/>
                <w:szCs w:val="22"/>
              </w:rPr>
            </w:pPr>
            <w:r>
              <w:rPr>
                <w:sz w:val="22"/>
                <w:szCs w:val="22"/>
              </w:rPr>
              <w:t xml:space="preserve">Tarpinė rodiklio reikšmė planuojama 0, nes 2024 m. nė vienas projektas nebus baigtas įgyvendinti.    </w:t>
            </w:r>
          </w:p>
        </w:tc>
      </w:tr>
      <w:tr w:rsidR="002F41E5" w14:paraId="35D420C5" w14:textId="77777777">
        <w:tc>
          <w:tcPr>
            <w:tcW w:w="1255" w:type="dxa"/>
          </w:tcPr>
          <w:p w14:paraId="4CB65DBD" w14:textId="77777777" w:rsidR="002F41E5" w:rsidRDefault="00124FBE">
            <w:pPr>
              <w:jc w:val="both"/>
              <w:rPr>
                <w:sz w:val="22"/>
                <w:szCs w:val="22"/>
              </w:rPr>
            </w:pPr>
            <w:r>
              <w:rPr>
                <w:sz w:val="22"/>
                <w:szCs w:val="22"/>
              </w:rPr>
              <w:t>R.S.2.3526</w:t>
            </w:r>
          </w:p>
        </w:tc>
        <w:tc>
          <w:tcPr>
            <w:tcW w:w="1457" w:type="dxa"/>
          </w:tcPr>
          <w:p w14:paraId="0B370A2F" w14:textId="77777777" w:rsidR="002F41E5" w:rsidRDefault="00124FBE">
            <w:pPr>
              <w:jc w:val="both"/>
              <w:rPr>
                <w:sz w:val="22"/>
                <w:szCs w:val="22"/>
              </w:rPr>
            </w:pPr>
            <w:r>
              <w:rPr>
                <w:bCs/>
                <w:sz w:val="22"/>
                <w:szCs w:val="22"/>
              </w:rPr>
              <w:t xml:space="preserve">Asmenų, palankiai vertinančių visuomenės sveikatos priežiūros paslaugų kokybę, dalis </w:t>
            </w:r>
            <w:r>
              <w:rPr>
                <w:sz w:val="18"/>
                <w:szCs w:val="18"/>
                <w:lang w:eastAsia="lt-LT"/>
              </w:rPr>
              <w:t xml:space="preserve">| </w:t>
            </w:r>
            <w:r>
              <w:rPr>
                <w:bCs/>
                <w:sz w:val="20"/>
              </w:rPr>
              <w:t xml:space="preserve"> </w:t>
            </w:r>
            <w:r>
              <w:rPr>
                <w:bCs/>
                <w:sz w:val="22"/>
                <w:szCs w:val="22"/>
              </w:rPr>
              <w:t xml:space="preserve"> Procentai</w:t>
            </w:r>
          </w:p>
        </w:tc>
        <w:tc>
          <w:tcPr>
            <w:tcW w:w="1092" w:type="dxa"/>
            <w:gridSpan w:val="2"/>
          </w:tcPr>
          <w:p w14:paraId="598E5D7A" w14:textId="77777777" w:rsidR="002F41E5" w:rsidRDefault="00124FBE">
            <w:pPr>
              <w:jc w:val="both"/>
              <w:rPr>
                <w:sz w:val="22"/>
                <w:szCs w:val="22"/>
              </w:rPr>
            </w:pPr>
            <w:r>
              <w:rPr>
                <w:sz w:val="22"/>
                <w:szCs w:val="22"/>
              </w:rPr>
              <w:t>0</w:t>
            </w:r>
          </w:p>
        </w:tc>
        <w:tc>
          <w:tcPr>
            <w:tcW w:w="1197" w:type="dxa"/>
          </w:tcPr>
          <w:p w14:paraId="45A4F832" w14:textId="77777777" w:rsidR="002F41E5" w:rsidRDefault="00124FBE">
            <w:pPr>
              <w:jc w:val="both"/>
              <w:rPr>
                <w:sz w:val="22"/>
                <w:szCs w:val="22"/>
              </w:rPr>
            </w:pPr>
            <w:r>
              <w:rPr>
                <w:sz w:val="22"/>
                <w:szCs w:val="22"/>
              </w:rPr>
              <w:t>1116556</w:t>
            </w:r>
          </w:p>
        </w:tc>
        <w:tc>
          <w:tcPr>
            <w:tcW w:w="1261" w:type="dxa"/>
            <w:gridSpan w:val="2"/>
          </w:tcPr>
          <w:p w14:paraId="64D27F10" w14:textId="77777777" w:rsidR="002F41E5" w:rsidRDefault="00124FBE">
            <w:pPr>
              <w:jc w:val="both"/>
              <w:rPr>
                <w:sz w:val="22"/>
                <w:szCs w:val="22"/>
              </w:rPr>
            </w:pPr>
            <w:r>
              <w:rPr>
                <w:sz w:val="22"/>
                <w:szCs w:val="22"/>
              </w:rPr>
              <w:t>949072</w:t>
            </w:r>
          </w:p>
        </w:tc>
        <w:tc>
          <w:tcPr>
            <w:tcW w:w="939" w:type="dxa"/>
          </w:tcPr>
          <w:p w14:paraId="7A616E0A" w14:textId="77777777" w:rsidR="002F41E5" w:rsidRDefault="00124FBE">
            <w:pPr>
              <w:jc w:val="center"/>
              <w:rPr>
                <w:sz w:val="22"/>
                <w:szCs w:val="22"/>
              </w:rPr>
            </w:pPr>
            <w:r>
              <w:rPr>
                <w:sz w:val="22"/>
                <w:szCs w:val="22"/>
              </w:rPr>
              <w:t>0</w:t>
            </w:r>
          </w:p>
          <w:p w14:paraId="06C75EB0" w14:textId="77777777" w:rsidR="002F41E5" w:rsidRDefault="00124FBE">
            <w:pPr>
              <w:jc w:val="center"/>
              <w:rPr>
                <w:sz w:val="22"/>
                <w:szCs w:val="22"/>
              </w:rPr>
            </w:pPr>
            <w:r>
              <w:rPr>
                <w:sz w:val="22"/>
                <w:szCs w:val="22"/>
              </w:rPr>
              <w:t>(2024)</w:t>
            </w:r>
          </w:p>
        </w:tc>
        <w:tc>
          <w:tcPr>
            <w:tcW w:w="986" w:type="dxa"/>
          </w:tcPr>
          <w:p w14:paraId="29882C87" w14:textId="77777777" w:rsidR="002F41E5" w:rsidRDefault="00124FBE">
            <w:pPr>
              <w:jc w:val="center"/>
              <w:rPr>
                <w:sz w:val="22"/>
                <w:szCs w:val="22"/>
              </w:rPr>
            </w:pPr>
            <w:r>
              <w:rPr>
                <w:sz w:val="22"/>
                <w:szCs w:val="22"/>
              </w:rPr>
              <w:t>80</w:t>
            </w:r>
          </w:p>
          <w:p w14:paraId="6820FF6C" w14:textId="77777777" w:rsidR="002F41E5" w:rsidRDefault="00124FBE">
            <w:pPr>
              <w:jc w:val="center"/>
              <w:rPr>
                <w:sz w:val="22"/>
                <w:szCs w:val="22"/>
              </w:rPr>
            </w:pPr>
            <w:r>
              <w:rPr>
                <w:sz w:val="22"/>
                <w:szCs w:val="22"/>
              </w:rPr>
              <w:t>(2029)</w:t>
            </w:r>
          </w:p>
        </w:tc>
        <w:tc>
          <w:tcPr>
            <w:tcW w:w="6409" w:type="dxa"/>
            <w:gridSpan w:val="3"/>
          </w:tcPr>
          <w:p w14:paraId="54F3BDE8" w14:textId="77777777" w:rsidR="002F41E5" w:rsidRDefault="00124FBE">
            <w:pPr>
              <w:jc w:val="both"/>
              <w:rPr>
                <w:bCs/>
                <w:sz w:val="22"/>
                <w:szCs w:val="22"/>
              </w:rPr>
            </w:pPr>
            <w:r>
              <w:rPr>
                <w:sz w:val="22"/>
                <w:szCs w:val="22"/>
              </w:rPr>
              <w:t>Siektina pažangos priemonės veiklos  rezultato rodiklio reikšmė 2029 m. nustatyta remiantis savivaldybių planuojamais pasiekti  rodikliais. Visos savivaldybės yra suplanavusios pasiekti, kad 80 proc. a</w:t>
            </w:r>
            <w:r>
              <w:rPr>
                <w:bCs/>
                <w:sz w:val="22"/>
                <w:szCs w:val="22"/>
              </w:rPr>
              <w:t>smenų bus palankiai vertinant</w:t>
            </w:r>
            <w:r>
              <w:rPr>
                <w:bCs/>
                <w:sz w:val="22"/>
                <w:szCs w:val="22"/>
              </w:rPr>
              <w:t xml:space="preserve">ys visuomenės sveikatos priežiūros paslaugų kokybę. </w:t>
            </w:r>
          </w:p>
          <w:p w14:paraId="25C947CC" w14:textId="77777777" w:rsidR="002F41E5" w:rsidRDefault="00124FBE">
            <w:pPr>
              <w:jc w:val="both"/>
              <w:rPr>
                <w:sz w:val="22"/>
                <w:szCs w:val="22"/>
              </w:rPr>
            </w:pPr>
            <w:r>
              <w:rPr>
                <w:sz w:val="22"/>
                <w:szCs w:val="22"/>
              </w:rPr>
              <w:t xml:space="preserve">Tarpinė rodiklio reikšmė planuojama 0, nes 2024 m. nė vienas projektas nebus baigtas įgyvendinti.   </w:t>
            </w:r>
          </w:p>
        </w:tc>
      </w:tr>
      <w:tr w:rsidR="002F41E5" w14:paraId="3DE4C48B" w14:textId="77777777">
        <w:trPr>
          <w:gridAfter w:val="2"/>
          <w:wAfter w:w="4973" w:type="dxa"/>
        </w:trPr>
        <w:tc>
          <w:tcPr>
            <w:tcW w:w="3397" w:type="dxa"/>
            <w:gridSpan w:val="3"/>
            <w:tcBorders>
              <w:top w:val="nil"/>
              <w:left w:val="nil"/>
              <w:bottom w:val="nil"/>
              <w:right w:val="nil"/>
            </w:tcBorders>
          </w:tcPr>
          <w:p w14:paraId="25FA003B" w14:textId="77777777" w:rsidR="002F41E5" w:rsidRDefault="00124FBE">
            <w:pPr>
              <w:suppressAutoHyphens/>
              <w:jc w:val="both"/>
              <w:textAlignment w:val="baseline"/>
              <w:rPr>
                <w:bCs/>
                <w:szCs w:val="24"/>
              </w:rPr>
            </w:pPr>
            <w:r>
              <w:rPr>
                <w:szCs w:val="24"/>
              </w:rPr>
              <w:t>Regiono plėtros tarybos administracijos direktorius</w:t>
            </w:r>
          </w:p>
        </w:tc>
        <w:tc>
          <w:tcPr>
            <w:tcW w:w="453" w:type="dxa"/>
            <w:tcBorders>
              <w:top w:val="nil"/>
              <w:left w:val="nil"/>
              <w:bottom w:val="nil"/>
              <w:right w:val="nil"/>
            </w:tcBorders>
          </w:tcPr>
          <w:p w14:paraId="02E7A909" w14:textId="77777777" w:rsidR="002F41E5" w:rsidRDefault="002F41E5">
            <w:pPr>
              <w:suppressAutoHyphens/>
              <w:jc w:val="both"/>
              <w:textAlignment w:val="baseline"/>
              <w:rPr>
                <w:bCs/>
                <w:szCs w:val="24"/>
              </w:rPr>
            </w:pPr>
          </w:p>
        </w:tc>
        <w:tc>
          <w:tcPr>
            <w:tcW w:w="2099" w:type="dxa"/>
            <w:gridSpan w:val="2"/>
            <w:tcBorders>
              <w:top w:val="nil"/>
              <w:left w:val="nil"/>
              <w:bottom w:val="single" w:sz="4" w:space="0" w:color="auto"/>
              <w:right w:val="nil"/>
            </w:tcBorders>
          </w:tcPr>
          <w:p w14:paraId="0C4C6A55" w14:textId="77777777" w:rsidR="002F41E5" w:rsidRDefault="002F41E5">
            <w:pPr>
              <w:suppressAutoHyphens/>
              <w:jc w:val="both"/>
              <w:textAlignment w:val="baseline"/>
              <w:rPr>
                <w:bCs/>
                <w:szCs w:val="24"/>
              </w:rPr>
            </w:pPr>
          </w:p>
        </w:tc>
        <w:tc>
          <w:tcPr>
            <w:tcW w:w="283" w:type="dxa"/>
            <w:tcBorders>
              <w:top w:val="nil"/>
              <w:left w:val="nil"/>
              <w:bottom w:val="nil"/>
              <w:right w:val="nil"/>
            </w:tcBorders>
          </w:tcPr>
          <w:p w14:paraId="6A97EADD" w14:textId="77777777" w:rsidR="002F41E5" w:rsidRDefault="002F41E5">
            <w:pPr>
              <w:suppressAutoHyphens/>
              <w:jc w:val="both"/>
              <w:textAlignment w:val="baseline"/>
              <w:rPr>
                <w:bCs/>
                <w:szCs w:val="24"/>
              </w:rPr>
            </w:pPr>
          </w:p>
        </w:tc>
        <w:tc>
          <w:tcPr>
            <w:tcW w:w="3396" w:type="dxa"/>
            <w:gridSpan w:val="3"/>
            <w:tcBorders>
              <w:top w:val="nil"/>
              <w:left w:val="nil"/>
              <w:bottom w:val="single" w:sz="4" w:space="0" w:color="auto"/>
              <w:right w:val="nil"/>
            </w:tcBorders>
          </w:tcPr>
          <w:p w14:paraId="611A02A8" w14:textId="77777777" w:rsidR="002F41E5" w:rsidRDefault="00124FBE">
            <w:pPr>
              <w:suppressAutoHyphens/>
              <w:jc w:val="center"/>
              <w:textAlignment w:val="baseline"/>
              <w:rPr>
                <w:bCs/>
                <w:szCs w:val="24"/>
              </w:rPr>
            </w:pPr>
            <w:r>
              <w:rPr>
                <w:bCs/>
                <w:szCs w:val="24"/>
              </w:rPr>
              <w:t>Julijana Gnadl</w:t>
            </w:r>
          </w:p>
        </w:tc>
      </w:tr>
      <w:tr w:rsidR="002F41E5" w14:paraId="0AB2D598" w14:textId="77777777">
        <w:trPr>
          <w:gridAfter w:val="1"/>
          <w:wAfter w:w="3550" w:type="dxa"/>
        </w:trPr>
        <w:tc>
          <w:tcPr>
            <w:tcW w:w="3397" w:type="dxa"/>
            <w:gridSpan w:val="3"/>
            <w:tcBorders>
              <w:top w:val="nil"/>
              <w:left w:val="nil"/>
              <w:bottom w:val="nil"/>
              <w:right w:val="nil"/>
            </w:tcBorders>
          </w:tcPr>
          <w:p w14:paraId="0C54D65A" w14:textId="77777777" w:rsidR="002F41E5" w:rsidRDefault="002F41E5">
            <w:pPr>
              <w:suppressAutoHyphens/>
              <w:jc w:val="both"/>
              <w:textAlignment w:val="baseline"/>
            </w:pPr>
          </w:p>
        </w:tc>
        <w:tc>
          <w:tcPr>
            <w:tcW w:w="453" w:type="dxa"/>
            <w:tcBorders>
              <w:top w:val="nil"/>
              <w:left w:val="nil"/>
              <w:bottom w:val="nil"/>
              <w:right w:val="nil"/>
            </w:tcBorders>
          </w:tcPr>
          <w:p w14:paraId="2DAFE39C" w14:textId="77777777" w:rsidR="002F41E5" w:rsidRDefault="002F41E5">
            <w:pPr>
              <w:suppressAutoHyphens/>
              <w:jc w:val="both"/>
              <w:textAlignment w:val="baseline"/>
            </w:pPr>
          </w:p>
        </w:tc>
        <w:tc>
          <w:tcPr>
            <w:tcW w:w="2099" w:type="dxa"/>
            <w:gridSpan w:val="2"/>
            <w:tcBorders>
              <w:left w:val="nil"/>
              <w:bottom w:val="nil"/>
              <w:right w:val="nil"/>
            </w:tcBorders>
          </w:tcPr>
          <w:p w14:paraId="4FBB91E4" w14:textId="77777777" w:rsidR="002F41E5" w:rsidRDefault="00124FBE">
            <w:pPr>
              <w:suppressAutoHyphens/>
              <w:jc w:val="center"/>
              <w:textAlignment w:val="baseline"/>
              <w:rPr>
                <w:i/>
              </w:rPr>
            </w:pPr>
            <w:r>
              <w:rPr>
                <w:i/>
                <w:color w:val="808080"/>
                <w:szCs w:val="24"/>
              </w:rPr>
              <w:t>(parašas)</w:t>
            </w:r>
          </w:p>
        </w:tc>
        <w:tc>
          <w:tcPr>
            <w:tcW w:w="283" w:type="dxa"/>
            <w:tcBorders>
              <w:top w:val="nil"/>
              <w:left w:val="nil"/>
              <w:bottom w:val="nil"/>
              <w:right w:val="nil"/>
            </w:tcBorders>
          </w:tcPr>
          <w:p w14:paraId="69D8B6D6" w14:textId="77777777" w:rsidR="002F41E5" w:rsidRDefault="002F41E5">
            <w:pPr>
              <w:suppressAutoHyphens/>
              <w:jc w:val="both"/>
              <w:textAlignment w:val="baseline"/>
            </w:pPr>
          </w:p>
        </w:tc>
        <w:tc>
          <w:tcPr>
            <w:tcW w:w="4819" w:type="dxa"/>
            <w:gridSpan w:val="4"/>
            <w:tcBorders>
              <w:left w:val="nil"/>
              <w:bottom w:val="nil"/>
              <w:right w:val="nil"/>
            </w:tcBorders>
          </w:tcPr>
          <w:p w14:paraId="39EB15DF" w14:textId="77777777" w:rsidR="002F41E5" w:rsidRDefault="00124FBE">
            <w:pPr>
              <w:suppressAutoHyphens/>
              <w:jc w:val="center"/>
              <w:textAlignment w:val="baseline"/>
              <w:rPr>
                <w:i/>
              </w:rPr>
            </w:pPr>
            <w:r>
              <w:rPr>
                <w:i/>
                <w:color w:val="808080"/>
                <w:szCs w:val="24"/>
              </w:rPr>
              <w:t xml:space="preserve">(vardas ir </w:t>
            </w:r>
            <w:r>
              <w:rPr>
                <w:i/>
                <w:color w:val="808080"/>
                <w:szCs w:val="24"/>
              </w:rPr>
              <w:t>pavardė)</w:t>
            </w:r>
          </w:p>
        </w:tc>
      </w:tr>
    </w:tbl>
    <w:p w14:paraId="09B8E9EF" w14:textId="77777777" w:rsidR="002F41E5" w:rsidRDefault="002F41E5">
      <w:pPr>
        <w:suppressAutoHyphens/>
        <w:jc w:val="both"/>
        <w:textAlignment w:val="baseline"/>
      </w:pPr>
    </w:p>
    <w:sectPr w:rsidR="002F41E5">
      <w:headerReference w:type="even" r:id="rId13"/>
      <w:headerReference w:type="default" r:id="rId14"/>
      <w:footerReference w:type="even" r:id="rId15"/>
      <w:footerReference w:type="default" r:id="rId16"/>
      <w:headerReference w:type="first" r:id="rId17"/>
      <w:footerReference w:type="first" r:id="rId18"/>
      <w:pgSz w:w="16838" w:h="11906" w:orient="landscape"/>
      <w:pgMar w:top="707" w:right="1440" w:bottom="1418" w:left="8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C8313" w14:textId="77777777" w:rsidR="00124FBE" w:rsidRDefault="00124FBE">
      <w:r>
        <w:separator/>
      </w:r>
    </w:p>
  </w:endnote>
  <w:endnote w:type="continuationSeparator" w:id="0">
    <w:p w14:paraId="4B975EDE" w14:textId="77777777" w:rsidR="00124FBE" w:rsidRDefault="0012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897F" w14:textId="77777777" w:rsidR="002F41E5" w:rsidRDefault="002F41E5">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BDCF" w14:textId="77777777" w:rsidR="002F41E5" w:rsidRDefault="002F41E5">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AEF7" w14:textId="77777777" w:rsidR="002F41E5" w:rsidRDefault="002F41E5">
    <w:pPr>
      <w:tabs>
        <w:tab w:val="center" w:pos="4153"/>
        <w:tab w:val="right" w:pos="8306"/>
      </w:tabs>
      <w:rPr>
        <w:lang w:eastAsia="lt-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64A2" w14:textId="77777777" w:rsidR="002F41E5" w:rsidRDefault="002F41E5">
    <w:pPr>
      <w:tabs>
        <w:tab w:val="center" w:pos="4153"/>
        <w:tab w:val="right" w:pos="8306"/>
      </w:tabs>
      <w:rPr>
        <w:lang w:eastAsia="lt-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C6A2" w14:textId="77777777" w:rsidR="002F41E5" w:rsidRDefault="002F41E5">
    <w:pPr>
      <w:tabs>
        <w:tab w:val="center" w:pos="4153"/>
        <w:tab w:val="right" w:pos="8306"/>
      </w:tabs>
      <w:rPr>
        <w:lang w:eastAsia="lt-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186E" w14:textId="77777777" w:rsidR="002F41E5" w:rsidRDefault="002F41E5">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084EF" w14:textId="77777777" w:rsidR="00124FBE" w:rsidRDefault="00124FBE">
      <w:r>
        <w:separator/>
      </w:r>
    </w:p>
  </w:footnote>
  <w:footnote w:type="continuationSeparator" w:id="0">
    <w:p w14:paraId="7E81756B" w14:textId="77777777" w:rsidR="00124FBE" w:rsidRDefault="00124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0CEB" w14:textId="77777777" w:rsidR="002F41E5" w:rsidRDefault="00124FBE">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19CB6C04" w14:textId="77777777" w:rsidR="002F41E5" w:rsidRDefault="002F41E5">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8C05" w14:textId="77777777" w:rsidR="002F41E5" w:rsidRDefault="00124FBE">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4</w:t>
    </w:r>
    <w:r>
      <w:rPr>
        <w:szCs w:val="24"/>
        <w:lang w:eastAsia="lt-LT"/>
      </w:rPr>
      <w:fldChar w:fldCharType="end"/>
    </w:r>
  </w:p>
  <w:p w14:paraId="1B358A6A" w14:textId="77777777" w:rsidR="002F41E5" w:rsidRDefault="002F41E5">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90D7" w14:textId="77777777" w:rsidR="002F41E5" w:rsidRDefault="002F41E5">
    <w:pPr>
      <w:tabs>
        <w:tab w:val="center" w:pos="4513"/>
        <w:tab w:val="right" w:pos="902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172F" w14:textId="77777777" w:rsidR="002F41E5" w:rsidRDefault="00124FBE">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7D2A254F" w14:textId="77777777" w:rsidR="002F41E5" w:rsidRDefault="002F41E5">
    <w:pPr>
      <w:tabs>
        <w:tab w:val="center" w:pos="4153"/>
        <w:tab w:val="right" w:pos="8306"/>
      </w:tabs>
      <w:rPr>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A67E" w14:textId="77777777" w:rsidR="002F41E5" w:rsidRDefault="002F41E5">
    <w:pPr>
      <w:tabs>
        <w:tab w:val="center" w:pos="4513"/>
        <w:tab w:val="right" w:pos="9026"/>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7C84" w14:textId="77777777" w:rsidR="002F41E5" w:rsidRDefault="002F41E5">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6C8"/>
    <w:rsid w:val="00124FBE"/>
    <w:rsid w:val="002F41E5"/>
    <w:rsid w:val="00D506C8"/>
    <w:rsid w:val="00D77739"/>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318B"/>
  <w15:chartTrackingRefBased/>
  <w15:docId w15:val="{5FA98886-830E-4958-816B-361DD780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55758">
      <w:bodyDiv w:val="1"/>
      <w:marLeft w:val="0"/>
      <w:marRight w:val="0"/>
      <w:marTop w:val="0"/>
      <w:marBottom w:val="0"/>
      <w:divBdr>
        <w:top w:val="none" w:sz="0" w:space="0" w:color="auto"/>
        <w:left w:val="none" w:sz="0" w:space="0" w:color="auto"/>
        <w:bottom w:val="none" w:sz="0" w:space="0" w:color="auto"/>
        <w:right w:val="none" w:sz="0" w:space="0" w:color="auto"/>
      </w:divBdr>
    </w:div>
    <w:div w:id="280036853">
      <w:bodyDiv w:val="1"/>
      <w:marLeft w:val="0"/>
      <w:marRight w:val="0"/>
      <w:marTop w:val="0"/>
      <w:marBottom w:val="0"/>
      <w:divBdr>
        <w:top w:val="none" w:sz="0" w:space="0" w:color="auto"/>
        <w:left w:val="none" w:sz="0" w:space="0" w:color="auto"/>
        <w:bottom w:val="none" w:sz="0" w:space="0" w:color="auto"/>
        <w:right w:val="none" w:sz="0" w:space="0" w:color="auto"/>
      </w:divBdr>
    </w:div>
    <w:div w:id="352994095">
      <w:bodyDiv w:val="1"/>
      <w:marLeft w:val="0"/>
      <w:marRight w:val="0"/>
      <w:marTop w:val="0"/>
      <w:marBottom w:val="0"/>
      <w:divBdr>
        <w:top w:val="none" w:sz="0" w:space="0" w:color="auto"/>
        <w:left w:val="none" w:sz="0" w:space="0" w:color="auto"/>
        <w:bottom w:val="none" w:sz="0" w:space="0" w:color="auto"/>
        <w:right w:val="none" w:sz="0" w:space="0" w:color="auto"/>
      </w:divBdr>
    </w:div>
    <w:div w:id="565528945">
      <w:bodyDiv w:val="1"/>
      <w:marLeft w:val="0"/>
      <w:marRight w:val="0"/>
      <w:marTop w:val="0"/>
      <w:marBottom w:val="0"/>
      <w:divBdr>
        <w:top w:val="none" w:sz="0" w:space="0" w:color="auto"/>
        <w:left w:val="none" w:sz="0" w:space="0" w:color="auto"/>
        <w:bottom w:val="none" w:sz="0" w:space="0" w:color="auto"/>
        <w:right w:val="none" w:sz="0" w:space="0" w:color="auto"/>
      </w:divBdr>
    </w:div>
    <w:div w:id="599802982">
      <w:bodyDiv w:val="1"/>
      <w:marLeft w:val="0"/>
      <w:marRight w:val="0"/>
      <w:marTop w:val="0"/>
      <w:marBottom w:val="0"/>
      <w:divBdr>
        <w:top w:val="none" w:sz="0" w:space="0" w:color="auto"/>
        <w:left w:val="none" w:sz="0" w:space="0" w:color="auto"/>
        <w:bottom w:val="none" w:sz="0" w:space="0" w:color="auto"/>
        <w:right w:val="none" w:sz="0" w:space="0" w:color="auto"/>
      </w:divBdr>
    </w:div>
    <w:div w:id="822089262">
      <w:bodyDiv w:val="1"/>
      <w:marLeft w:val="0"/>
      <w:marRight w:val="0"/>
      <w:marTop w:val="0"/>
      <w:marBottom w:val="0"/>
      <w:divBdr>
        <w:top w:val="none" w:sz="0" w:space="0" w:color="auto"/>
        <w:left w:val="none" w:sz="0" w:space="0" w:color="auto"/>
        <w:bottom w:val="none" w:sz="0" w:space="0" w:color="auto"/>
        <w:right w:val="none" w:sz="0" w:space="0" w:color="auto"/>
      </w:divBdr>
    </w:div>
    <w:div w:id="951399034">
      <w:bodyDiv w:val="1"/>
      <w:marLeft w:val="0"/>
      <w:marRight w:val="0"/>
      <w:marTop w:val="0"/>
      <w:marBottom w:val="0"/>
      <w:divBdr>
        <w:top w:val="none" w:sz="0" w:space="0" w:color="auto"/>
        <w:left w:val="none" w:sz="0" w:space="0" w:color="auto"/>
        <w:bottom w:val="none" w:sz="0" w:space="0" w:color="auto"/>
        <w:right w:val="none" w:sz="0" w:space="0" w:color="auto"/>
      </w:divBdr>
    </w:div>
    <w:div w:id="1005323683">
      <w:bodyDiv w:val="1"/>
      <w:marLeft w:val="0"/>
      <w:marRight w:val="0"/>
      <w:marTop w:val="0"/>
      <w:marBottom w:val="0"/>
      <w:divBdr>
        <w:top w:val="none" w:sz="0" w:space="0" w:color="auto"/>
        <w:left w:val="none" w:sz="0" w:space="0" w:color="auto"/>
        <w:bottom w:val="none" w:sz="0" w:space="0" w:color="auto"/>
        <w:right w:val="none" w:sz="0" w:space="0" w:color="auto"/>
      </w:divBdr>
    </w:div>
    <w:div w:id="1546869654">
      <w:bodyDiv w:val="1"/>
      <w:marLeft w:val="0"/>
      <w:marRight w:val="0"/>
      <w:marTop w:val="0"/>
      <w:marBottom w:val="0"/>
      <w:divBdr>
        <w:top w:val="none" w:sz="0" w:space="0" w:color="auto"/>
        <w:left w:val="none" w:sz="0" w:space="0" w:color="auto"/>
        <w:bottom w:val="none" w:sz="0" w:space="0" w:color="auto"/>
        <w:right w:val="none" w:sz="0" w:space="0" w:color="auto"/>
      </w:divBdr>
    </w:div>
    <w:div w:id="1644040160">
      <w:bodyDiv w:val="1"/>
      <w:marLeft w:val="0"/>
      <w:marRight w:val="0"/>
      <w:marTop w:val="0"/>
      <w:marBottom w:val="0"/>
      <w:divBdr>
        <w:top w:val="none" w:sz="0" w:space="0" w:color="auto"/>
        <w:left w:val="none" w:sz="0" w:space="0" w:color="auto"/>
        <w:bottom w:val="none" w:sz="0" w:space="0" w:color="auto"/>
        <w:right w:val="none" w:sz="0" w:space="0" w:color="auto"/>
      </w:divBdr>
    </w:div>
    <w:div w:id="1684090610">
      <w:bodyDiv w:val="1"/>
      <w:marLeft w:val="0"/>
      <w:marRight w:val="0"/>
      <w:marTop w:val="0"/>
      <w:marBottom w:val="0"/>
      <w:divBdr>
        <w:top w:val="none" w:sz="0" w:space="0" w:color="auto"/>
        <w:left w:val="none" w:sz="0" w:space="0" w:color="auto"/>
        <w:bottom w:val="none" w:sz="0" w:space="0" w:color="auto"/>
        <w:right w:val="none" w:sz="0" w:space="0" w:color="auto"/>
      </w:divBdr>
    </w:div>
    <w:div w:id="1810050634">
      <w:bodyDiv w:val="1"/>
      <w:marLeft w:val="0"/>
      <w:marRight w:val="0"/>
      <w:marTop w:val="0"/>
      <w:marBottom w:val="0"/>
      <w:divBdr>
        <w:top w:val="none" w:sz="0" w:space="0" w:color="auto"/>
        <w:left w:val="none" w:sz="0" w:space="0" w:color="auto"/>
        <w:bottom w:val="none" w:sz="0" w:space="0" w:color="auto"/>
        <w:right w:val="none" w:sz="0" w:space="0" w:color="auto"/>
      </w:divBdr>
    </w:div>
    <w:div w:id="1844397900">
      <w:bodyDiv w:val="1"/>
      <w:marLeft w:val="0"/>
      <w:marRight w:val="0"/>
      <w:marTop w:val="0"/>
      <w:marBottom w:val="0"/>
      <w:divBdr>
        <w:top w:val="none" w:sz="0" w:space="0" w:color="auto"/>
        <w:left w:val="none" w:sz="0" w:space="0" w:color="auto"/>
        <w:bottom w:val="none" w:sz="0" w:space="0" w:color="auto"/>
        <w:right w:val="none" w:sz="0" w:space="0" w:color="auto"/>
      </w:divBdr>
    </w:div>
    <w:div w:id="1939560794">
      <w:bodyDiv w:val="1"/>
      <w:marLeft w:val="0"/>
      <w:marRight w:val="0"/>
      <w:marTop w:val="0"/>
      <w:marBottom w:val="0"/>
      <w:divBdr>
        <w:top w:val="none" w:sz="0" w:space="0" w:color="auto"/>
        <w:left w:val="none" w:sz="0" w:space="0" w:color="auto"/>
        <w:bottom w:val="none" w:sz="0" w:space="0" w:color="auto"/>
        <w:right w:val="none" w:sz="0" w:space="0" w:color="auto"/>
      </w:divBdr>
    </w:div>
    <w:div w:id="2048409580">
      <w:bodyDiv w:val="1"/>
      <w:marLeft w:val="0"/>
      <w:marRight w:val="0"/>
      <w:marTop w:val="0"/>
      <w:marBottom w:val="0"/>
      <w:divBdr>
        <w:top w:val="none" w:sz="0" w:space="0" w:color="auto"/>
        <w:left w:val="none" w:sz="0" w:space="0" w:color="auto"/>
        <w:bottom w:val="none" w:sz="0" w:space="0" w:color="auto"/>
        <w:right w:val="none" w:sz="0" w:space="0" w:color="auto"/>
      </w:divBdr>
    </w:div>
    <w:div w:id="2090811390">
      <w:bodyDiv w:val="1"/>
      <w:marLeft w:val="0"/>
      <w:marRight w:val="0"/>
      <w:marTop w:val="0"/>
      <w:marBottom w:val="0"/>
      <w:divBdr>
        <w:top w:val="none" w:sz="0" w:space="0" w:color="auto"/>
        <w:left w:val="none" w:sz="0" w:space="0" w:color="auto"/>
        <w:bottom w:val="none" w:sz="0" w:space="0" w:color="auto"/>
        <w:right w:val="none" w:sz="0" w:space="0" w:color="auto"/>
      </w:divBdr>
    </w:div>
    <w:div w:id="2092924018">
      <w:bodyDiv w:val="1"/>
      <w:marLeft w:val="0"/>
      <w:marRight w:val="0"/>
      <w:marTop w:val="0"/>
      <w:marBottom w:val="0"/>
      <w:divBdr>
        <w:top w:val="none" w:sz="0" w:space="0" w:color="auto"/>
        <w:left w:val="none" w:sz="0" w:space="0" w:color="auto"/>
        <w:bottom w:val="none" w:sz="0" w:space="0" w:color="auto"/>
        <w:right w:val="none" w:sz="0" w:space="0" w:color="auto"/>
      </w:divBdr>
    </w:div>
    <w:div w:id="2133477292">
      <w:bodyDiv w:val="1"/>
      <w:marLeft w:val="0"/>
      <w:marRight w:val="0"/>
      <w:marTop w:val="0"/>
      <w:marBottom w:val="0"/>
      <w:divBdr>
        <w:top w:val="none" w:sz="0" w:space="0" w:color="auto"/>
        <w:left w:val="none" w:sz="0" w:space="0" w:color="auto"/>
        <w:bottom w:val="none" w:sz="0" w:space="0" w:color="auto"/>
        <w:right w:val="none" w:sz="0" w:space="0" w:color="auto"/>
      </w:divBdr>
    </w:div>
    <w:div w:id="214643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102CA-231F-4700-8645-0AA4F199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18019</Words>
  <Characters>10271</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IRD prie VRM</Company>
  <LinksUpToDate>false</LinksUpToDate>
  <CharactersWithSpaces>28234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Šarkauskaitė</dc:creator>
  <cp:lastModifiedBy>Evelina </cp:lastModifiedBy>
  <cp:revision>3</cp:revision>
  <cp:lastPrinted>2023-03-16T13:29:00Z</cp:lastPrinted>
  <dcterms:created xsi:type="dcterms:W3CDTF">2023-10-31T16:13:00Z</dcterms:created>
  <dcterms:modified xsi:type="dcterms:W3CDTF">2023-12-06T12:48:00Z</dcterms:modified>
</cp:coreProperties>
</file>